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08C18" w14:textId="77777777" w:rsidR="00120CF4" w:rsidRDefault="00120CF4" w:rsidP="00A93F72">
      <w:pPr>
        <w:pStyle w:val="Heading2"/>
        <w:spacing w:after="0"/>
      </w:pPr>
    </w:p>
    <w:p w14:paraId="47D5026D" w14:textId="05AD11F8" w:rsidR="00DD265D" w:rsidRDefault="00B86CA9" w:rsidP="00A93F72">
      <w:pPr>
        <w:pStyle w:val="Heading2"/>
        <w:spacing w:after="0"/>
      </w:pPr>
      <w:r>
        <w:t>S</w:t>
      </w:r>
      <w:r w:rsidR="00120CF4">
        <w:t xml:space="preserve">OP </w:t>
      </w:r>
      <w:r w:rsidR="00DD265D">
        <w:t>13:  Site Preparations for Study Closeout</w:t>
      </w:r>
    </w:p>
    <w:p w14:paraId="51CADAFA" w14:textId="77777777" w:rsidR="00DD265D" w:rsidRDefault="00DD265D" w:rsidP="00A93F72">
      <w:pPr>
        <w:pStyle w:val="Heading2"/>
        <w:spacing w:after="0"/>
      </w:pPr>
    </w:p>
    <w:p w14:paraId="6E3F7851" w14:textId="77777777" w:rsidR="00DD265D" w:rsidRPr="00785D6F" w:rsidRDefault="00DD265D" w:rsidP="00B03246">
      <w:pPr>
        <w:pStyle w:val="Heading3"/>
        <w:spacing w:after="100" w:afterAutospacing="1" w:line="240" w:lineRule="auto"/>
        <w:jc w:val="left"/>
      </w:pPr>
      <w:r w:rsidRPr="00785D6F">
        <w:t>Overview:</w:t>
      </w:r>
    </w:p>
    <w:p w14:paraId="13F7B0EB" w14:textId="77777777" w:rsidR="006113F0" w:rsidRDefault="009E784F" w:rsidP="00B03246">
      <w:pPr>
        <w:numPr>
          <w:ilvl w:val="0"/>
          <w:numId w:val="23"/>
        </w:numPr>
        <w:spacing w:after="120"/>
        <w:rPr>
          <w:szCs w:val="22"/>
        </w:rPr>
      </w:pPr>
      <w:r>
        <w:rPr>
          <w:szCs w:val="22"/>
        </w:rPr>
        <w:t>P</w:t>
      </w:r>
      <w:r w:rsidR="006113F0">
        <w:rPr>
          <w:szCs w:val="22"/>
        </w:rPr>
        <w:t>articipating Organizations (PO</w:t>
      </w:r>
      <w:r w:rsidR="00FB3CB6">
        <w:rPr>
          <w:szCs w:val="22"/>
        </w:rPr>
        <w:t>s</w:t>
      </w:r>
      <w:r w:rsidR="006113F0">
        <w:rPr>
          <w:szCs w:val="22"/>
        </w:rPr>
        <w:t xml:space="preserve">) are responsible for meeting all study obligations as part of study closeout.  </w:t>
      </w:r>
    </w:p>
    <w:p w14:paraId="204AD3A8" w14:textId="22EA2DAD" w:rsidR="00DD265D" w:rsidRPr="00DF6A08" w:rsidRDefault="006113F0" w:rsidP="00B03246">
      <w:pPr>
        <w:numPr>
          <w:ilvl w:val="0"/>
          <w:numId w:val="23"/>
        </w:numPr>
        <w:spacing w:after="120"/>
        <w:rPr>
          <w:szCs w:val="22"/>
        </w:rPr>
      </w:pPr>
      <w:r>
        <w:rPr>
          <w:szCs w:val="22"/>
        </w:rPr>
        <w:t xml:space="preserve">The </w:t>
      </w:r>
      <w:r w:rsidR="00DD265D" w:rsidRPr="00DF6A08">
        <w:rPr>
          <w:szCs w:val="22"/>
        </w:rPr>
        <w:t xml:space="preserve">Consortium Lead Organization (CLO) </w:t>
      </w:r>
      <w:r w:rsidR="00DD265D">
        <w:rPr>
          <w:szCs w:val="22"/>
        </w:rPr>
        <w:t xml:space="preserve">will perform study close-out </w:t>
      </w:r>
      <w:r w:rsidR="00DD265D" w:rsidRPr="00DF6A08">
        <w:rPr>
          <w:szCs w:val="22"/>
        </w:rPr>
        <w:t xml:space="preserve">activities to confirm </w:t>
      </w:r>
      <w:r w:rsidR="005D3A99">
        <w:rPr>
          <w:szCs w:val="22"/>
        </w:rPr>
        <w:t xml:space="preserve">that </w:t>
      </w:r>
      <w:r w:rsidR="003F5DD4">
        <w:rPr>
          <w:szCs w:val="22"/>
        </w:rPr>
        <w:t xml:space="preserve">all study </w:t>
      </w:r>
      <w:r w:rsidR="00DD265D" w:rsidRPr="00DF6A08">
        <w:rPr>
          <w:szCs w:val="22"/>
        </w:rPr>
        <w:t xml:space="preserve">obligations have been met and </w:t>
      </w:r>
      <w:r>
        <w:rPr>
          <w:szCs w:val="22"/>
        </w:rPr>
        <w:t xml:space="preserve">all </w:t>
      </w:r>
      <w:r w:rsidR="00DD265D" w:rsidRPr="00DF6A08">
        <w:rPr>
          <w:szCs w:val="22"/>
        </w:rPr>
        <w:t xml:space="preserve">final tasks </w:t>
      </w:r>
      <w:r>
        <w:rPr>
          <w:szCs w:val="22"/>
        </w:rPr>
        <w:t xml:space="preserve">associated with the study </w:t>
      </w:r>
      <w:r w:rsidR="00DD265D" w:rsidRPr="00DF6A08">
        <w:rPr>
          <w:szCs w:val="22"/>
        </w:rPr>
        <w:t>are complete.</w:t>
      </w:r>
      <w:r w:rsidR="00FB3CB6">
        <w:rPr>
          <w:szCs w:val="22"/>
        </w:rPr>
        <w:t xml:space="preserve">  </w:t>
      </w:r>
    </w:p>
    <w:p w14:paraId="71A694EB" w14:textId="77777777" w:rsidR="006113F0" w:rsidRDefault="006113F0" w:rsidP="00ED2E60">
      <w:pPr>
        <w:pStyle w:val="Heading3"/>
        <w:spacing w:before="280" w:after="280" w:line="240" w:lineRule="auto"/>
        <w:jc w:val="left"/>
      </w:pPr>
      <w:r>
        <w:t xml:space="preserve">PO </w:t>
      </w:r>
      <w:r w:rsidRPr="00DF6A08">
        <w:t>Responsibilities:</w:t>
      </w:r>
      <w:r>
        <w:t xml:space="preserve"> </w:t>
      </w:r>
    </w:p>
    <w:p w14:paraId="1EABE0C0" w14:textId="16CA04A5" w:rsidR="006113F0" w:rsidRDefault="005474B6" w:rsidP="00B03246">
      <w:pPr>
        <w:pStyle w:val="P1-StandPara"/>
        <w:spacing w:after="100" w:afterAutospacing="1" w:line="240" w:lineRule="auto"/>
        <w:ind w:left="360" w:firstLine="0"/>
      </w:pPr>
      <w:r>
        <w:t>T</w:t>
      </w:r>
      <w:r w:rsidR="00FB3CB6">
        <w:t xml:space="preserve">he PO Site Coordinator is responsible for </w:t>
      </w:r>
      <w:r w:rsidR="00C10635">
        <w:t>coordinating the following closeout tasks</w:t>
      </w:r>
      <w:r w:rsidR="0064085C">
        <w:t xml:space="preserve"> </w:t>
      </w:r>
      <w:r w:rsidR="002A3C47">
        <w:t>in a timely manner</w:t>
      </w:r>
      <w:r w:rsidR="00C10635">
        <w:t>:</w:t>
      </w:r>
    </w:p>
    <w:p w14:paraId="42D9F673" w14:textId="797FA4C7" w:rsidR="009047F7" w:rsidRDefault="009047F7" w:rsidP="00B03246">
      <w:pPr>
        <w:pStyle w:val="P1-StandPara"/>
        <w:numPr>
          <w:ilvl w:val="0"/>
          <w:numId w:val="24"/>
        </w:numPr>
        <w:spacing w:after="120" w:line="240" w:lineRule="auto"/>
      </w:pPr>
      <w:r>
        <w:t xml:space="preserve">All regulatory documents, including </w:t>
      </w:r>
      <w:r w:rsidR="004A76D5">
        <w:t>all required IRB</w:t>
      </w:r>
      <w:r w:rsidR="003B6CE5">
        <w:t>/CIRB</w:t>
      </w:r>
      <w:r w:rsidR="004A76D5">
        <w:t xml:space="preserve"> </w:t>
      </w:r>
      <w:r>
        <w:t>approvals</w:t>
      </w:r>
      <w:r w:rsidR="003B6CE5">
        <w:t xml:space="preserve">, </w:t>
      </w:r>
      <w:r>
        <w:t>are current and on file.</w:t>
      </w:r>
    </w:p>
    <w:p w14:paraId="3ED0654E" w14:textId="07968860" w:rsidR="009047F7" w:rsidRDefault="00DA1A90" w:rsidP="00B03246">
      <w:pPr>
        <w:pStyle w:val="P1-StandPara"/>
        <w:numPr>
          <w:ilvl w:val="0"/>
          <w:numId w:val="24"/>
        </w:numPr>
        <w:spacing w:after="120" w:line="240" w:lineRule="auto"/>
      </w:pPr>
      <w:r>
        <w:t>The l</w:t>
      </w:r>
      <w:r w:rsidR="009047F7">
        <w:t>ocal IRB</w:t>
      </w:r>
      <w:r w:rsidR="003B6CE5">
        <w:t xml:space="preserve"> </w:t>
      </w:r>
      <w:r w:rsidR="009047F7">
        <w:t xml:space="preserve">has been notified </w:t>
      </w:r>
      <w:r w:rsidR="00453EA0">
        <w:t xml:space="preserve">that </w:t>
      </w:r>
      <w:r w:rsidR="0076210B">
        <w:t xml:space="preserve">all participants are off study </w:t>
      </w:r>
      <w:r w:rsidR="009047F7">
        <w:t>according to institutional requirements.</w:t>
      </w:r>
    </w:p>
    <w:p w14:paraId="5BCB3EC5" w14:textId="77777777" w:rsidR="009047F7" w:rsidRDefault="00DA1A90" w:rsidP="00B03246">
      <w:pPr>
        <w:pStyle w:val="P1-StandPara"/>
        <w:numPr>
          <w:ilvl w:val="0"/>
          <w:numId w:val="24"/>
        </w:numPr>
        <w:spacing w:after="120" w:line="240" w:lineRule="auto"/>
      </w:pPr>
      <w:r>
        <w:t>An o</w:t>
      </w:r>
      <w:r w:rsidR="009047F7">
        <w:t>riginal</w:t>
      </w:r>
      <w:r w:rsidR="00017374">
        <w:t xml:space="preserve"> or a certified copy of the original</w:t>
      </w:r>
      <w:r w:rsidR="009047F7">
        <w:t>, signed and dated informed consent form(s) is on file for each participant.</w:t>
      </w:r>
    </w:p>
    <w:p w14:paraId="1F33F8D0" w14:textId="43B2A73B" w:rsidR="009047F7" w:rsidRDefault="002A63FD" w:rsidP="00B03246">
      <w:pPr>
        <w:pStyle w:val="P1-StandPara"/>
        <w:numPr>
          <w:ilvl w:val="0"/>
          <w:numId w:val="24"/>
        </w:numPr>
        <w:spacing w:after="120" w:line="240" w:lineRule="auto"/>
      </w:pPr>
      <w:r>
        <w:t xml:space="preserve">All </w:t>
      </w:r>
      <w:r w:rsidR="00E03AD3">
        <w:t xml:space="preserve">required </w:t>
      </w:r>
      <w:r>
        <w:t xml:space="preserve">logs </w:t>
      </w:r>
      <w:r w:rsidR="00B303D0">
        <w:t>and documentation for enrollment, screening</w:t>
      </w:r>
      <w:r>
        <w:t xml:space="preserve">, </w:t>
      </w:r>
      <w:r w:rsidR="00B303D0">
        <w:t>monitoring</w:t>
      </w:r>
      <w:r w:rsidR="00E03AD3">
        <w:t xml:space="preserve"> and</w:t>
      </w:r>
      <w:r w:rsidR="001862FA">
        <w:t>/or</w:t>
      </w:r>
      <w:r w:rsidR="00E03AD3">
        <w:t xml:space="preserve"> </w:t>
      </w:r>
      <w:r w:rsidR="00B303D0">
        <w:t xml:space="preserve">auditing visits, </w:t>
      </w:r>
      <w:r w:rsidR="00E03AD3">
        <w:t xml:space="preserve">protocol deviations, </w:t>
      </w:r>
      <w:r w:rsidR="00B303D0">
        <w:t xml:space="preserve">and </w:t>
      </w:r>
      <w:r>
        <w:t>SAE</w:t>
      </w:r>
      <w:r w:rsidR="00B303D0">
        <w:t>s are current and available</w:t>
      </w:r>
      <w:r w:rsidR="009047F7">
        <w:t>.</w:t>
      </w:r>
    </w:p>
    <w:p w14:paraId="27DD16F6" w14:textId="37C65215" w:rsidR="009047F7" w:rsidRPr="0063377C" w:rsidRDefault="0063377C" w:rsidP="00B03246">
      <w:pPr>
        <w:pStyle w:val="P1-StandPara"/>
        <w:numPr>
          <w:ilvl w:val="0"/>
          <w:numId w:val="24"/>
        </w:numPr>
        <w:spacing w:after="120" w:line="240" w:lineRule="auto"/>
      </w:pPr>
      <w:r>
        <w:t xml:space="preserve">Documentation </w:t>
      </w:r>
      <w:r w:rsidR="009047F7" w:rsidRPr="0063377C">
        <w:t xml:space="preserve">is present in each participant’s record indicating that study participation has </w:t>
      </w:r>
      <w:r w:rsidR="002A63FD" w:rsidRPr="0063377C">
        <w:t>ended,</w:t>
      </w:r>
      <w:r w:rsidR="0076210B">
        <w:t xml:space="preserve"> and the participant is off study</w:t>
      </w:r>
      <w:r w:rsidR="009047F7" w:rsidRPr="0063377C">
        <w:t>.</w:t>
      </w:r>
    </w:p>
    <w:p w14:paraId="67C69536" w14:textId="77777777" w:rsidR="009047F7" w:rsidRDefault="009047F7" w:rsidP="00B03246">
      <w:pPr>
        <w:pStyle w:val="P1-StandPara"/>
        <w:numPr>
          <w:ilvl w:val="0"/>
          <w:numId w:val="24"/>
        </w:numPr>
        <w:spacing w:after="120" w:line="240" w:lineRule="auto"/>
      </w:pPr>
      <w:r>
        <w:t>There are no adverse events or serious adverse events that require further follow-up for any participant.</w:t>
      </w:r>
    </w:p>
    <w:p w14:paraId="48571B26" w14:textId="4E47CCB0" w:rsidR="009047F7" w:rsidRDefault="009047F7" w:rsidP="00B03246">
      <w:pPr>
        <w:pStyle w:val="P1-StandPara"/>
        <w:numPr>
          <w:ilvl w:val="0"/>
          <w:numId w:val="24"/>
        </w:numPr>
        <w:spacing w:after="120" w:line="240" w:lineRule="auto"/>
      </w:pPr>
      <w:r>
        <w:t xml:space="preserve">All </w:t>
      </w:r>
      <w:r w:rsidR="00D86B26">
        <w:t xml:space="preserve">paper and/or electronic </w:t>
      </w:r>
      <w:r>
        <w:t xml:space="preserve">case report forms </w:t>
      </w:r>
      <w:r w:rsidR="008125A8">
        <w:t xml:space="preserve">for each participant have been completed.  </w:t>
      </w:r>
    </w:p>
    <w:p w14:paraId="50B9552C" w14:textId="77777777" w:rsidR="008125A8" w:rsidRDefault="008125A8" w:rsidP="00B03246">
      <w:pPr>
        <w:pStyle w:val="P1-StandPara"/>
        <w:numPr>
          <w:ilvl w:val="0"/>
          <w:numId w:val="24"/>
        </w:numPr>
        <w:spacing w:after="120" w:line="240" w:lineRule="auto"/>
      </w:pPr>
      <w:r>
        <w:t xml:space="preserve">All data entry, data queries, and quality assurance (QA) activities in the database of record are complete.  </w:t>
      </w:r>
    </w:p>
    <w:p w14:paraId="7105670D" w14:textId="77777777" w:rsidR="008125A8" w:rsidRDefault="008125A8" w:rsidP="00B03246">
      <w:pPr>
        <w:pStyle w:val="P1-StandPara"/>
        <w:numPr>
          <w:ilvl w:val="0"/>
          <w:numId w:val="24"/>
        </w:numPr>
        <w:spacing w:after="120" w:line="240" w:lineRule="auto"/>
      </w:pPr>
      <w:r>
        <w:t xml:space="preserve">All </w:t>
      </w:r>
      <w:r w:rsidR="000766DA">
        <w:t>D</w:t>
      </w:r>
      <w:r>
        <w:t xml:space="preserve">rug </w:t>
      </w:r>
      <w:r w:rsidR="000766DA">
        <w:t>A</w:t>
      </w:r>
      <w:r>
        <w:t xml:space="preserve">ccountability </w:t>
      </w:r>
      <w:r w:rsidR="000766DA">
        <w:t>R</w:t>
      </w:r>
      <w:r>
        <w:t xml:space="preserve">ecord </w:t>
      </w:r>
      <w:r w:rsidR="000766DA">
        <w:t>F</w:t>
      </w:r>
      <w:r>
        <w:t>orm(s) (DARFs) have been reconciled.</w:t>
      </w:r>
    </w:p>
    <w:p w14:paraId="774F5767" w14:textId="33846CB5" w:rsidR="008125A8" w:rsidRDefault="001854E7" w:rsidP="00B03246">
      <w:pPr>
        <w:pStyle w:val="P1-StandPara"/>
        <w:numPr>
          <w:ilvl w:val="0"/>
          <w:numId w:val="24"/>
        </w:numPr>
        <w:spacing w:after="120" w:line="240" w:lineRule="auto"/>
      </w:pPr>
      <w:r>
        <w:t xml:space="preserve">The </w:t>
      </w:r>
      <w:r w:rsidR="00DB1188">
        <w:t>r</w:t>
      </w:r>
      <w:r w:rsidR="00340BDA">
        <w:t>esearch s</w:t>
      </w:r>
      <w:r w:rsidR="008125A8">
        <w:t>pecimen log</w:t>
      </w:r>
      <w:r w:rsidR="00DC2D1D">
        <w:t>(s)</w:t>
      </w:r>
      <w:r w:rsidR="008125A8">
        <w:t xml:space="preserve"> and/or </w:t>
      </w:r>
      <w:r w:rsidR="00340BDA">
        <w:t xml:space="preserve">research </w:t>
      </w:r>
      <w:r w:rsidR="008125A8">
        <w:t>specimen management system</w:t>
      </w:r>
      <w:r w:rsidR="00DC2D1D">
        <w:t>(s)</w:t>
      </w:r>
      <w:r w:rsidR="008125A8">
        <w:t xml:space="preserve"> is current.</w:t>
      </w:r>
    </w:p>
    <w:p w14:paraId="39D90A06" w14:textId="77777777" w:rsidR="00DD265D" w:rsidRDefault="00DD265D" w:rsidP="00831288">
      <w:pPr>
        <w:pStyle w:val="Heading3"/>
        <w:spacing w:before="280" w:after="280" w:line="240" w:lineRule="auto"/>
        <w:jc w:val="left"/>
      </w:pPr>
      <w:r w:rsidRPr="00DF6A08">
        <w:t>CLO Responsibilities:</w:t>
      </w:r>
    </w:p>
    <w:p w14:paraId="5662488B" w14:textId="04B49943" w:rsidR="00DD265D" w:rsidRDefault="00C10635" w:rsidP="00B03246">
      <w:pPr>
        <w:pStyle w:val="P1-StandPara"/>
        <w:spacing w:after="120" w:line="240" w:lineRule="auto"/>
        <w:ind w:left="360" w:firstLine="0"/>
      </w:pPr>
      <w:r>
        <w:t xml:space="preserve">The CLO Lead Site Coordinator is responsible for </w:t>
      </w:r>
      <w:r w:rsidR="001F08A8">
        <w:t>conducting and</w:t>
      </w:r>
      <w:r w:rsidR="00340BDA">
        <w:t xml:space="preserve"> </w:t>
      </w:r>
      <w:r w:rsidR="001F08A8">
        <w:t xml:space="preserve">coordinating study closeout tasks within </w:t>
      </w:r>
      <w:r w:rsidR="004C13F5">
        <w:t xml:space="preserve">the </w:t>
      </w:r>
      <w:r w:rsidR="001F08A8">
        <w:t xml:space="preserve">timeframes outlined in the Consortium contract.  </w:t>
      </w:r>
      <w:r w:rsidR="00340BDA">
        <w:t>The CLO Lead Site Coordinator will</w:t>
      </w:r>
      <w:r w:rsidR="0064085C">
        <w:t>:</w:t>
      </w:r>
      <w:r w:rsidR="00340BDA">
        <w:t xml:space="preserve"> </w:t>
      </w:r>
    </w:p>
    <w:p w14:paraId="1385D776" w14:textId="593BA5A5" w:rsidR="009838DE" w:rsidRPr="009838DE" w:rsidRDefault="00831527" w:rsidP="00291D1B">
      <w:pPr>
        <w:pStyle w:val="P1-StandPara"/>
        <w:numPr>
          <w:ilvl w:val="0"/>
          <w:numId w:val="18"/>
        </w:numPr>
        <w:spacing w:before="240" w:after="120" w:line="240" w:lineRule="auto"/>
        <w:rPr>
          <w:szCs w:val="22"/>
        </w:rPr>
      </w:pPr>
      <w:r>
        <w:t>Verify all participants are off study at all accruing sites</w:t>
      </w:r>
      <w:r w:rsidR="0076210B">
        <w:t>.</w:t>
      </w:r>
    </w:p>
    <w:p w14:paraId="10A790FA" w14:textId="142FF3F3" w:rsidR="001F08A8" w:rsidRDefault="00831527" w:rsidP="00B03246">
      <w:pPr>
        <w:pStyle w:val="P1-StandPara"/>
        <w:numPr>
          <w:ilvl w:val="0"/>
          <w:numId w:val="18"/>
        </w:numPr>
        <w:spacing w:after="120" w:line="240" w:lineRule="auto"/>
        <w:rPr>
          <w:szCs w:val="22"/>
        </w:rPr>
      </w:pPr>
      <w:r>
        <w:t xml:space="preserve">Submit </w:t>
      </w:r>
      <w:r w:rsidR="008D5348">
        <w:t xml:space="preserve">the </w:t>
      </w:r>
      <w:hyperlink r:id="rId8" w:history="1">
        <w:r w:rsidR="00E03AD3" w:rsidRPr="00E03AD3">
          <w:rPr>
            <w:rStyle w:val="Hyperlink"/>
          </w:rPr>
          <w:t xml:space="preserve">Protocol </w:t>
        </w:r>
        <w:r w:rsidRPr="00E03AD3">
          <w:rPr>
            <w:rStyle w:val="Hyperlink"/>
          </w:rPr>
          <w:t>Status Update Form</w:t>
        </w:r>
      </w:hyperlink>
      <w:r>
        <w:t xml:space="preserve"> to the </w:t>
      </w:r>
      <w:r w:rsidR="007B74BD">
        <w:t xml:space="preserve">DCP </w:t>
      </w:r>
      <w:r>
        <w:t>P</w:t>
      </w:r>
      <w:r w:rsidR="00ED2E60">
        <w:t>rotocol Information Office</w:t>
      </w:r>
      <w:r w:rsidR="007B74BD">
        <w:t xml:space="preserve"> (PIO)</w:t>
      </w:r>
      <w:r w:rsidR="0076210B">
        <w:t>.</w:t>
      </w:r>
    </w:p>
    <w:p w14:paraId="077188C3" w14:textId="5794DE96" w:rsidR="001F08A8" w:rsidRDefault="0076210B" w:rsidP="00B03246">
      <w:pPr>
        <w:pStyle w:val="P1-StandPara"/>
        <w:numPr>
          <w:ilvl w:val="0"/>
          <w:numId w:val="18"/>
        </w:numPr>
        <w:spacing w:after="120" w:line="240" w:lineRule="auto"/>
        <w:rPr>
          <w:szCs w:val="22"/>
        </w:rPr>
      </w:pPr>
      <w:r>
        <w:t>Verify</w:t>
      </w:r>
      <w:r w:rsidR="008D5348">
        <w:t xml:space="preserve"> all </w:t>
      </w:r>
      <w:r w:rsidR="0078209F">
        <w:t xml:space="preserve">CLO/PO data entry </w:t>
      </w:r>
      <w:r>
        <w:t xml:space="preserve">is </w:t>
      </w:r>
      <w:r w:rsidR="0078209F">
        <w:t>complete</w:t>
      </w:r>
      <w:r>
        <w:t>.</w:t>
      </w:r>
    </w:p>
    <w:p w14:paraId="29984E53" w14:textId="4AC9BE01" w:rsidR="0078209F" w:rsidRDefault="008D5348" w:rsidP="00330697">
      <w:pPr>
        <w:pStyle w:val="SL-FlLftSgl"/>
        <w:numPr>
          <w:ilvl w:val="0"/>
          <w:numId w:val="18"/>
        </w:numPr>
        <w:spacing w:after="120"/>
        <w:jc w:val="left"/>
      </w:pPr>
      <w:r>
        <w:t xml:space="preserve">Complete the </w:t>
      </w:r>
      <w:r w:rsidR="0078209F">
        <w:t>CLO/PO data QA review(s)</w:t>
      </w:r>
      <w:r w:rsidR="0076210B">
        <w:t>.</w:t>
      </w:r>
      <w:r w:rsidR="0078209F">
        <w:t xml:space="preserve"> </w:t>
      </w:r>
    </w:p>
    <w:p w14:paraId="53018371" w14:textId="4B344B23" w:rsidR="00FB0583" w:rsidRDefault="008D5348" w:rsidP="00330697">
      <w:pPr>
        <w:pStyle w:val="SL-FlLftSgl"/>
        <w:numPr>
          <w:ilvl w:val="0"/>
          <w:numId w:val="18"/>
        </w:numPr>
        <w:spacing w:after="120"/>
        <w:jc w:val="left"/>
      </w:pPr>
      <w:r>
        <w:t xml:space="preserve">Complete the </w:t>
      </w:r>
      <w:r w:rsidR="00FB0583">
        <w:t xml:space="preserve">Closeout visits at </w:t>
      </w:r>
      <w:r>
        <w:t xml:space="preserve">the </w:t>
      </w:r>
      <w:proofErr w:type="spellStart"/>
      <w:r w:rsidR="00FB0583">
        <w:t>POs</w:t>
      </w:r>
      <w:r w:rsidR="0076210B">
        <w:t>.</w:t>
      </w:r>
      <w:proofErr w:type="spellEnd"/>
      <w:r w:rsidR="00FB0583">
        <w:t xml:space="preserve"> </w:t>
      </w:r>
    </w:p>
    <w:p w14:paraId="7C1C7637" w14:textId="509A53E2" w:rsidR="00FB0583" w:rsidRDefault="0076210B" w:rsidP="00330697">
      <w:pPr>
        <w:pStyle w:val="SL-FlLftSgl"/>
        <w:numPr>
          <w:ilvl w:val="0"/>
          <w:numId w:val="18"/>
        </w:numPr>
        <w:spacing w:after="120"/>
        <w:jc w:val="left"/>
      </w:pPr>
      <w:r>
        <w:lastRenderedPageBreak/>
        <w:t>Ensure the DCP Monitoring Contractor</w:t>
      </w:r>
      <w:r w:rsidR="0001111E">
        <w:t xml:space="preserve"> </w:t>
      </w:r>
      <w:r w:rsidR="003E57B6">
        <w:t xml:space="preserve">is notified of the PO study closeout visit dates and </w:t>
      </w:r>
      <w:r>
        <w:t>has conducted the study closeout visit at the CLO</w:t>
      </w:r>
      <w:r w:rsidR="0001111E">
        <w:t>.</w:t>
      </w:r>
    </w:p>
    <w:p w14:paraId="6AF018F5" w14:textId="354CC0DD" w:rsidR="00A443DA" w:rsidRDefault="00125742" w:rsidP="00330697">
      <w:pPr>
        <w:pStyle w:val="SL-FlLftSgl"/>
        <w:numPr>
          <w:ilvl w:val="0"/>
          <w:numId w:val="18"/>
        </w:numPr>
        <w:spacing w:after="120"/>
        <w:jc w:val="left"/>
      </w:pPr>
      <w:r>
        <w:t xml:space="preserve">Ensure that </w:t>
      </w:r>
      <w:r w:rsidR="008D5348">
        <w:t xml:space="preserve">the research </w:t>
      </w:r>
      <w:r w:rsidR="00A443DA">
        <w:t>lab(s) analyses</w:t>
      </w:r>
      <w:r>
        <w:t xml:space="preserve"> have been completed and the results have been uploaded</w:t>
      </w:r>
      <w:r w:rsidR="00A443DA">
        <w:t xml:space="preserve"> to </w:t>
      </w:r>
      <w:r w:rsidR="008D5348">
        <w:t xml:space="preserve">the </w:t>
      </w:r>
      <w:r w:rsidR="00A443DA">
        <w:t>database of record or other storage</w:t>
      </w:r>
      <w:r w:rsidR="0076210B">
        <w:t>.</w:t>
      </w:r>
      <w:r w:rsidR="00A443DA">
        <w:t xml:space="preserve"> </w:t>
      </w:r>
    </w:p>
    <w:p w14:paraId="17FA6E4F" w14:textId="53487AB7" w:rsidR="00A443DA" w:rsidRDefault="008D5348" w:rsidP="00330697">
      <w:pPr>
        <w:pStyle w:val="SL-FlLftSgl"/>
        <w:numPr>
          <w:ilvl w:val="0"/>
          <w:numId w:val="18"/>
        </w:numPr>
        <w:spacing w:after="120"/>
        <w:jc w:val="left"/>
      </w:pPr>
      <w:r>
        <w:t>Clean and audit the d</w:t>
      </w:r>
      <w:r w:rsidR="00A443DA">
        <w:t xml:space="preserve">atabase of record </w:t>
      </w:r>
      <w:r w:rsidR="00C36E77">
        <w:t>in preparation for analysis and database lock</w:t>
      </w:r>
      <w:r w:rsidR="0076210B">
        <w:t>.</w:t>
      </w:r>
      <w:r w:rsidR="00A443DA">
        <w:t xml:space="preserve"> </w:t>
      </w:r>
    </w:p>
    <w:p w14:paraId="7D66978D" w14:textId="55293025" w:rsidR="009838DE" w:rsidRDefault="008D5348" w:rsidP="008D5348">
      <w:pPr>
        <w:pStyle w:val="P1-StandPara"/>
        <w:numPr>
          <w:ilvl w:val="0"/>
          <w:numId w:val="18"/>
        </w:numPr>
        <w:spacing w:after="120" w:line="240" w:lineRule="auto"/>
        <w:rPr>
          <w:szCs w:val="22"/>
        </w:rPr>
      </w:pPr>
      <w:r>
        <w:rPr>
          <w:szCs w:val="22"/>
        </w:rPr>
        <w:t xml:space="preserve">Notify the </w:t>
      </w:r>
      <w:r w:rsidR="00A443DA" w:rsidRPr="00A443DA">
        <w:rPr>
          <w:szCs w:val="22"/>
        </w:rPr>
        <w:t xml:space="preserve">Medical Monitor </w:t>
      </w:r>
      <w:r>
        <w:rPr>
          <w:szCs w:val="22"/>
        </w:rPr>
        <w:t xml:space="preserve">and Scientific Monitor </w:t>
      </w:r>
      <w:r w:rsidR="00A443DA" w:rsidRPr="00A443DA">
        <w:rPr>
          <w:szCs w:val="22"/>
        </w:rPr>
        <w:t xml:space="preserve">of </w:t>
      </w:r>
      <w:r>
        <w:rPr>
          <w:szCs w:val="22"/>
        </w:rPr>
        <w:t xml:space="preserve">the </w:t>
      </w:r>
      <w:r w:rsidR="00A443DA" w:rsidRPr="00A443DA">
        <w:rPr>
          <w:szCs w:val="22"/>
        </w:rPr>
        <w:t>intent to unblind the study</w:t>
      </w:r>
      <w:r w:rsidR="0042662C">
        <w:rPr>
          <w:szCs w:val="22"/>
        </w:rPr>
        <w:t xml:space="preserve"> and request approval</w:t>
      </w:r>
      <w:r w:rsidR="00D86B26">
        <w:rPr>
          <w:szCs w:val="22"/>
        </w:rPr>
        <w:t>,</w:t>
      </w:r>
      <w:r w:rsidR="00A443DA" w:rsidRPr="00A443DA">
        <w:rPr>
          <w:szCs w:val="22"/>
        </w:rPr>
        <w:t xml:space="preserve"> if applicable</w:t>
      </w:r>
      <w:r w:rsidR="0076210B">
        <w:rPr>
          <w:szCs w:val="22"/>
        </w:rPr>
        <w:t>.</w:t>
      </w:r>
    </w:p>
    <w:p w14:paraId="63D0E7AB" w14:textId="3CB3EABD" w:rsidR="00717689" w:rsidRDefault="00197F42" w:rsidP="00AE56A9">
      <w:pPr>
        <w:pStyle w:val="P1-StandPara"/>
        <w:numPr>
          <w:ilvl w:val="0"/>
          <w:numId w:val="18"/>
        </w:numPr>
        <w:spacing w:after="120" w:line="240" w:lineRule="auto"/>
        <w:rPr>
          <w:szCs w:val="22"/>
        </w:rPr>
      </w:pPr>
      <w:r>
        <w:t>U</w:t>
      </w:r>
      <w:r w:rsidR="008D5348">
        <w:t>nblind the s</w:t>
      </w:r>
      <w:r w:rsidR="00A443DA">
        <w:t>tudy</w:t>
      </w:r>
      <w:r w:rsidR="0042662C">
        <w:t xml:space="preserve"> upon approval</w:t>
      </w:r>
      <w:r w:rsidR="00D964D1">
        <w:t xml:space="preserve"> by the Medical Monitor</w:t>
      </w:r>
      <w:r w:rsidR="00D86B26">
        <w:t>,</w:t>
      </w:r>
      <w:r w:rsidR="00A443DA">
        <w:t xml:space="preserve"> if applicable</w:t>
      </w:r>
      <w:r w:rsidR="00D86B26">
        <w:t xml:space="preserve"> (see </w:t>
      </w:r>
      <w:hyperlink w:anchor="AppendixD" w:history="1">
        <w:r w:rsidR="00D86B26" w:rsidRPr="00445C0F">
          <w:rPr>
            <w:rStyle w:val="Hyperlink"/>
          </w:rPr>
          <w:t>Appendix D</w:t>
        </w:r>
      </w:hyperlink>
      <w:r w:rsidR="00D86B26">
        <w:t>).</w:t>
      </w:r>
    </w:p>
    <w:p w14:paraId="6054773E" w14:textId="5AC1B5D8" w:rsidR="009838DE" w:rsidRDefault="008D5348" w:rsidP="00B03246">
      <w:pPr>
        <w:pStyle w:val="P1-StandPara"/>
        <w:numPr>
          <w:ilvl w:val="0"/>
          <w:numId w:val="18"/>
        </w:numPr>
        <w:spacing w:after="120" w:line="240" w:lineRule="auto"/>
        <w:rPr>
          <w:szCs w:val="22"/>
        </w:rPr>
      </w:pPr>
      <w:r>
        <w:t xml:space="preserve">Deliver </w:t>
      </w:r>
      <w:r w:rsidR="0076210B">
        <w:t>all required</w:t>
      </w:r>
      <w:r>
        <w:t xml:space="preserve"> </w:t>
      </w:r>
      <w:r w:rsidR="00C36E77">
        <w:t>final and complete datasets</w:t>
      </w:r>
      <w:r w:rsidR="00263491">
        <w:t xml:space="preserve"> to </w:t>
      </w:r>
      <w:r>
        <w:t xml:space="preserve">the </w:t>
      </w:r>
      <w:r w:rsidR="00263491">
        <w:t>Study Statisticians</w:t>
      </w:r>
      <w:r w:rsidR="0076210B">
        <w:t>.</w:t>
      </w:r>
    </w:p>
    <w:p w14:paraId="236F637C" w14:textId="49107360" w:rsidR="009838DE" w:rsidRPr="00C36E77" w:rsidRDefault="00E2024C" w:rsidP="00B03246">
      <w:pPr>
        <w:pStyle w:val="P1-StandPara"/>
        <w:numPr>
          <w:ilvl w:val="0"/>
          <w:numId w:val="18"/>
        </w:numPr>
        <w:spacing w:after="120" w:line="240" w:lineRule="auto"/>
        <w:rPr>
          <w:szCs w:val="22"/>
        </w:rPr>
      </w:pPr>
      <w:r>
        <w:t xml:space="preserve">Ensure that </w:t>
      </w:r>
      <w:r w:rsidR="00D86B26">
        <w:t>the</w:t>
      </w:r>
      <w:r w:rsidR="008D5348">
        <w:t xml:space="preserve"> </w:t>
      </w:r>
      <w:r w:rsidR="00D86B26">
        <w:t>f</w:t>
      </w:r>
      <w:r w:rsidR="00D86B26" w:rsidRPr="00D73298">
        <w:t xml:space="preserve">inal </w:t>
      </w:r>
      <w:r w:rsidR="00C36E77">
        <w:t>s</w:t>
      </w:r>
      <w:r w:rsidR="008D5348" w:rsidRPr="00D73298">
        <w:t xml:space="preserve">tatistical </w:t>
      </w:r>
      <w:r w:rsidR="00C36E77">
        <w:t>a</w:t>
      </w:r>
      <w:r w:rsidR="008D5348" w:rsidRPr="00D73298">
        <w:t>nalyses</w:t>
      </w:r>
      <w:r>
        <w:t xml:space="preserve"> have been completed</w:t>
      </w:r>
      <w:r w:rsidR="0076210B">
        <w:t>.</w:t>
      </w:r>
    </w:p>
    <w:p w14:paraId="0A31D5E2" w14:textId="71F22495" w:rsidR="00C36E77" w:rsidRDefault="00C36E77" w:rsidP="00B03246">
      <w:pPr>
        <w:pStyle w:val="P1-StandPara"/>
        <w:numPr>
          <w:ilvl w:val="0"/>
          <w:numId w:val="18"/>
        </w:numPr>
        <w:spacing w:after="120" w:line="240" w:lineRule="auto"/>
        <w:rPr>
          <w:szCs w:val="22"/>
        </w:rPr>
      </w:pPr>
      <w:r>
        <w:rPr>
          <w:szCs w:val="22"/>
        </w:rPr>
        <w:t>Complete database lock</w:t>
      </w:r>
      <w:r w:rsidR="0076210B">
        <w:rPr>
          <w:szCs w:val="22"/>
        </w:rPr>
        <w:t>.</w:t>
      </w:r>
      <w:r>
        <w:rPr>
          <w:szCs w:val="22"/>
        </w:rPr>
        <w:t xml:space="preserve"> </w:t>
      </w:r>
    </w:p>
    <w:p w14:paraId="7172621C" w14:textId="2FE66164" w:rsidR="0044711D" w:rsidRPr="0044711D" w:rsidRDefault="0044711D" w:rsidP="006D5287">
      <w:pPr>
        <w:pStyle w:val="P1-StandPara"/>
        <w:numPr>
          <w:ilvl w:val="1"/>
          <w:numId w:val="18"/>
        </w:numPr>
        <w:tabs>
          <w:tab w:val="clear" w:pos="1440"/>
          <w:tab w:val="left" w:pos="900"/>
        </w:tabs>
        <w:spacing w:after="120" w:line="240" w:lineRule="auto"/>
        <w:ind w:left="990" w:hanging="270"/>
        <w:rPr>
          <w:szCs w:val="22"/>
        </w:rPr>
      </w:pPr>
      <w:r>
        <w:t xml:space="preserve"> </w:t>
      </w:r>
      <w:r w:rsidRPr="00EB5053">
        <w:t xml:space="preserve">Database lock </w:t>
      </w:r>
      <w:r>
        <w:t>should</w:t>
      </w:r>
      <w:r w:rsidRPr="00EB5053">
        <w:t xml:space="preserve"> </w:t>
      </w:r>
      <w:r w:rsidRPr="00D252F8">
        <w:rPr>
          <w:u w:val="single"/>
        </w:rPr>
        <w:t>not</w:t>
      </w:r>
      <w:r w:rsidRPr="00EB5053">
        <w:t xml:space="preserve"> be completed until </w:t>
      </w:r>
      <w:r>
        <w:t xml:space="preserve">the final monthly </w:t>
      </w:r>
      <w:r w:rsidRPr="00EB5053">
        <w:t>MDS Report is reviewed and there are no further questions</w:t>
      </w:r>
      <w:r w:rsidR="00D86B26">
        <w:t xml:space="preserve"> or </w:t>
      </w:r>
      <w:r w:rsidRPr="00EB5053">
        <w:t>queries</w:t>
      </w:r>
      <w:r>
        <w:t xml:space="preserve"> to resolve.</w:t>
      </w:r>
    </w:p>
    <w:p w14:paraId="6113DDB3" w14:textId="6CBC639A" w:rsidR="0044711D" w:rsidRPr="0044711D" w:rsidRDefault="0044711D" w:rsidP="003D1ADA">
      <w:pPr>
        <w:pStyle w:val="SL-FlLftSgl"/>
        <w:numPr>
          <w:ilvl w:val="1"/>
          <w:numId w:val="18"/>
        </w:numPr>
        <w:tabs>
          <w:tab w:val="clear" w:pos="1440"/>
          <w:tab w:val="left" w:pos="900"/>
          <w:tab w:val="left" w:pos="1080"/>
        </w:tabs>
        <w:spacing w:after="120" w:line="240" w:lineRule="auto"/>
        <w:ind w:left="540" w:firstLine="180"/>
        <w:jc w:val="left"/>
        <w:rPr>
          <w:szCs w:val="22"/>
        </w:rPr>
      </w:pPr>
      <w:r>
        <w:t xml:space="preserve"> Submission of the monthly MDS Report is no longer required.</w:t>
      </w:r>
    </w:p>
    <w:p w14:paraId="34E6FB92" w14:textId="7EC073FB" w:rsidR="009838DE" w:rsidRDefault="00E2024C" w:rsidP="00B03246">
      <w:pPr>
        <w:pStyle w:val="P1-StandPara"/>
        <w:numPr>
          <w:ilvl w:val="0"/>
          <w:numId w:val="18"/>
        </w:numPr>
        <w:spacing w:after="120" w:line="240" w:lineRule="auto"/>
        <w:rPr>
          <w:szCs w:val="22"/>
        </w:rPr>
      </w:pPr>
      <w:r>
        <w:t xml:space="preserve">Ensure that </w:t>
      </w:r>
      <w:r w:rsidR="008D5348">
        <w:t>the d</w:t>
      </w:r>
      <w:r w:rsidR="008E2637">
        <w:t xml:space="preserve">raft manuscript </w:t>
      </w:r>
      <w:r>
        <w:t xml:space="preserve">is submitted </w:t>
      </w:r>
      <w:r w:rsidR="008E2637">
        <w:t xml:space="preserve">to the </w:t>
      </w:r>
      <w:r w:rsidR="006034A0">
        <w:t xml:space="preserve">DCP </w:t>
      </w:r>
      <w:r w:rsidR="008E2637">
        <w:t>PIO</w:t>
      </w:r>
      <w:r>
        <w:t xml:space="preserve">, </w:t>
      </w:r>
      <w:r w:rsidR="008E2637">
        <w:t>Medical Monitor</w:t>
      </w:r>
      <w:r>
        <w:t xml:space="preserve">, </w:t>
      </w:r>
      <w:r w:rsidR="00197F42">
        <w:t>S</w:t>
      </w:r>
      <w:r>
        <w:t xml:space="preserve">cientific </w:t>
      </w:r>
      <w:r w:rsidR="00197F42">
        <w:t>M</w:t>
      </w:r>
      <w:r>
        <w:t xml:space="preserve">onitor, and </w:t>
      </w:r>
      <w:r w:rsidR="00197F42">
        <w:t>N</w:t>
      </w:r>
      <w:r>
        <w:t xml:space="preserve">urse </w:t>
      </w:r>
      <w:r w:rsidR="00197F42">
        <w:t>C</w:t>
      </w:r>
      <w:r>
        <w:t>onsultant per contract requirements</w:t>
      </w:r>
      <w:r w:rsidR="0076210B">
        <w:t>.</w:t>
      </w:r>
    </w:p>
    <w:p w14:paraId="1C4DF0EA" w14:textId="522AFBC9" w:rsidR="008E2637" w:rsidRDefault="008E2637" w:rsidP="00330697">
      <w:pPr>
        <w:pStyle w:val="SL-FlLftSgl"/>
        <w:numPr>
          <w:ilvl w:val="0"/>
          <w:numId w:val="18"/>
        </w:numPr>
        <w:spacing w:after="120"/>
        <w:jc w:val="left"/>
      </w:pPr>
      <w:r>
        <w:t xml:space="preserve">Submit </w:t>
      </w:r>
      <w:r w:rsidR="008D5348">
        <w:t xml:space="preserve">the </w:t>
      </w:r>
      <w:r>
        <w:t xml:space="preserve">notice of the Study Closure or Study Completion as required to the IRB of Record, i.e. </w:t>
      </w:r>
      <w:r w:rsidR="00D86B26">
        <w:t xml:space="preserve">the </w:t>
      </w:r>
      <w:r>
        <w:t>local IRB or CIRB</w:t>
      </w:r>
      <w:r w:rsidR="0076210B">
        <w:t>.</w:t>
      </w:r>
    </w:p>
    <w:p w14:paraId="75200647" w14:textId="58EA7167" w:rsidR="00CD3C8B" w:rsidRDefault="00CD3C8B" w:rsidP="00330697">
      <w:pPr>
        <w:pStyle w:val="SL-FlLftSgl"/>
        <w:numPr>
          <w:ilvl w:val="0"/>
          <w:numId w:val="18"/>
        </w:numPr>
        <w:spacing w:after="120"/>
        <w:jc w:val="left"/>
      </w:pPr>
      <w:r>
        <w:t xml:space="preserve">Verify the DCP </w:t>
      </w:r>
      <w:r w:rsidR="00F553B2">
        <w:t>Regulatory</w:t>
      </w:r>
      <w:r>
        <w:t xml:space="preserve"> Contractor and/or the responsible party has complied with the NIH Office of Biotechnology Activities (OBA) reporting requirements for the study, if applicable</w:t>
      </w:r>
      <w:r w:rsidR="009A6B75" w:rsidRPr="00412253">
        <w:t>,</w:t>
      </w:r>
      <w:r w:rsidR="009A6B75" w:rsidRPr="00412253">
        <w:rPr>
          <w:color w:val="0000FF"/>
          <w:szCs w:val="22"/>
        </w:rPr>
        <w:t xml:space="preserve"> </w:t>
      </w:r>
      <w:hyperlink r:id="rId9" w:history="1">
        <w:r w:rsidR="009A6B75" w:rsidRPr="00412253">
          <w:rPr>
            <w:rStyle w:val="Hyperlink"/>
            <w:szCs w:val="22"/>
          </w:rPr>
          <w:t>http://osp.od.nih.gov/office</w:t>
        </w:r>
        <w:r w:rsidR="009A6B75" w:rsidRPr="00412253">
          <w:rPr>
            <w:rStyle w:val="Hyperlink"/>
            <w:rFonts w:ascii="Cambria Math" w:hAnsi="Cambria Math" w:cs="Cambria Math"/>
            <w:szCs w:val="22"/>
          </w:rPr>
          <w:t>‐</w:t>
        </w:r>
        <w:r w:rsidR="009A6B75" w:rsidRPr="00412253">
          <w:rPr>
            <w:rStyle w:val="Hyperlink"/>
            <w:szCs w:val="22"/>
          </w:rPr>
          <w:t>biotechnology</w:t>
        </w:r>
        <w:r w:rsidR="009A6B75" w:rsidRPr="00412253">
          <w:rPr>
            <w:rStyle w:val="Hyperlink"/>
            <w:rFonts w:ascii="Cambria Math" w:hAnsi="Cambria Math" w:cs="Cambria Math"/>
            <w:szCs w:val="22"/>
          </w:rPr>
          <w:t>‐</w:t>
        </w:r>
        <w:r w:rsidR="009A6B75" w:rsidRPr="00412253">
          <w:rPr>
            <w:rStyle w:val="Hyperlink"/>
            <w:szCs w:val="22"/>
          </w:rPr>
          <w:t>activities/biosafety/nih</w:t>
        </w:r>
        <w:r w:rsidR="009A6B75" w:rsidRPr="00412253">
          <w:rPr>
            <w:rStyle w:val="Hyperlink"/>
            <w:rFonts w:ascii="Cambria Math" w:hAnsi="Cambria Math" w:cs="Cambria Math"/>
            <w:szCs w:val="22"/>
          </w:rPr>
          <w:t>‐</w:t>
        </w:r>
        <w:r w:rsidR="009A6B75" w:rsidRPr="00412253">
          <w:rPr>
            <w:rStyle w:val="Hyperlink"/>
            <w:szCs w:val="22"/>
          </w:rPr>
          <w:t>guidelines</w:t>
        </w:r>
      </w:hyperlink>
      <w:r w:rsidR="0076210B">
        <w:rPr>
          <w:rStyle w:val="Hyperlink"/>
          <w:szCs w:val="22"/>
        </w:rPr>
        <w:t>.</w:t>
      </w:r>
      <w:r w:rsidR="009A6B75">
        <w:t xml:space="preserve"> </w:t>
      </w:r>
    </w:p>
    <w:p w14:paraId="689DBC00" w14:textId="37EE7430" w:rsidR="008E2637" w:rsidRDefault="008E2637" w:rsidP="00330697">
      <w:pPr>
        <w:pStyle w:val="SL-FlLftSgl"/>
        <w:numPr>
          <w:ilvl w:val="0"/>
          <w:numId w:val="18"/>
        </w:numPr>
        <w:spacing w:after="120"/>
        <w:jc w:val="left"/>
      </w:pPr>
      <w:r>
        <w:t xml:space="preserve">Submit </w:t>
      </w:r>
      <w:r w:rsidR="00C36E77">
        <w:t xml:space="preserve">the </w:t>
      </w:r>
      <w:r>
        <w:t>final clinical</w:t>
      </w:r>
      <w:r w:rsidR="00CF25C5">
        <w:t>,</w:t>
      </w:r>
      <w:r>
        <w:t xml:space="preserve"> biomarker</w:t>
      </w:r>
      <w:r w:rsidR="004C13F5">
        <w:t>, unblinding,</w:t>
      </w:r>
      <w:r>
        <w:t xml:space="preserve"> and </w:t>
      </w:r>
      <w:r w:rsidR="006D5287">
        <w:t xml:space="preserve">other study-specific </w:t>
      </w:r>
      <w:r w:rsidR="00CF25C5">
        <w:t>d</w:t>
      </w:r>
      <w:r>
        <w:t>ata</w:t>
      </w:r>
      <w:r w:rsidR="00CF25C5">
        <w:t>s</w:t>
      </w:r>
      <w:r>
        <w:t>ets to DCP</w:t>
      </w:r>
      <w:r w:rsidR="0078071C">
        <w:t xml:space="preserve"> (see</w:t>
      </w:r>
      <w:r w:rsidR="00CF25C5">
        <w:t xml:space="preserve"> </w:t>
      </w:r>
      <w:hyperlink w:anchor="AppendixA" w:history="1">
        <w:r w:rsidR="000D00E3" w:rsidRPr="00445C0F">
          <w:rPr>
            <w:rStyle w:val="Hyperlink"/>
          </w:rPr>
          <w:t>Appendix A</w:t>
        </w:r>
      </w:hyperlink>
      <w:r w:rsidR="00D86B26">
        <w:t xml:space="preserve"> and </w:t>
      </w:r>
      <w:hyperlink w:anchor="AppendixD" w:history="1">
        <w:r w:rsidR="00D86B26" w:rsidRPr="00445C0F">
          <w:rPr>
            <w:rStyle w:val="Hyperlink"/>
          </w:rPr>
          <w:t>Appendix D</w:t>
        </w:r>
      </w:hyperlink>
      <w:r w:rsidR="000D00E3">
        <w:t>)</w:t>
      </w:r>
      <w:r w:rsidR="0076210B">
        <w:t>.</w:t>
      </w:r>
    </w:p>
    <w:p w14:paraId="06424B4F" w14:textId="756F2007" w:rsidR="008E2637" w:rsidRDefault="00C36E77" w:rsidP="0085159D">
      <w:pPr>
        <w:pStyle w:val="SL-FlLftSgl"/>
        <w:spacing w:after="120"/>
        <w:ind w:left="990" w:hanging="270"/>
        <w:jc w:val="left"/>
      </w:pPr>
      <w:r>
        <w:t xml:space="preserve">a. </w:t>
      </w:r>
      <w:r w:rsidR="008E2637">
        <w:t>Submit other required data not collected in the database of record (biomarker data</w:t>
      </w:r>
      <w:r w:rsidR="00A40344">
        <w:t xml:space="preserve">, </w:t>
      </w:r>
      <w:r w:rsidR="008E2637">
        <w:t>individual surveys</w:t>
      </w:r>
      <w:r w:rsidR="00A40344">
        <w:t xml:space="preserve">, </w:t>
      </w:r>
      <w:r w:rsidR="008E2637">
        <w:t xml:space="preserve">etc.) </w:t>
      </w:r>
      <w:r w:rsidR="00CC29F0">
        <w:t xml:space="preserve">and documentation (data dictionary) </w:t>
      </w:r>
      <w:r w:rsidR="008E2637">
        <w:t>to DCP</w:t>
      </w:r>
      <w:r w:rsidR="0078071C">
        <w:t xml:space="preserve"> (see </w:t>
      </w:r>
      <w:hyperlink w:anchor="AppendixA" w:history="1">
        <w:r w:rsidR="006C59EB" w:rsidRPr="00445C0F">
          <w:rPr>
            <w:rStyle w:val="Hyperlink"/>
          </w:rPr>
          <w:t>Appendix A</w:t>
        </w:r>
      </w:hyperlink>
      <w:r w:rsidR="00DB6205">
        <w:t>)</w:t>
      </w:r>
      <w:r w:rsidR="0076210B">
        <w:t>.</w:t>
      </w:r>
    </w:p>
    <w:p w14:paraId="384FBA1D" w14:textId="5FC2DF1C" w:rsidR="00F553B2" w:rsidRDefault="003F3B36" w:rsidP="00330697">
      <w:pPr>
        <w:pStyle w:val="SL-FlLftSgl"/>
        <w:numPr>
          <w:ilvl w:val="0"/>
          <w:numId w:val="18"/>
        </w:numPr>
        <w:spacing w:after="120"/>
        <w:jc w:val="left"/>
      </w:pPr>
      <w:r>
        <w:t xml:space="preserve"> </w:t>
      </w:r>
      <w:r w:rsidR="00F4049D">
        <w:t>For th</w:t>
      </w:r>
      <w:r w:rsidR="0059204D">
        <w:t>ose</w:t>
      </w:r>
      <w:r w:rsidR="00F4049D">
        <w:t xml:space="preserve"> studies collecting genomic data, r</w:t>
      </w:r>
      <w:r w:rsidR="00F4049D" w:rsidRPr="0083230A">
        <w:t xml:space="preserve">eview </w:t>
      </w:r>
      <w:r w:rsidR="00F4049D">
        <w:t xml:space="preserve">the </w:t>
      </w:r>
      <w:r w:rsidR="00F4049D" w:rsidRPr="0083230A">
        <w:t>NIH policy for Genomic Data Sharing</w:t>
      </w:r>
      <w:r w:rsidR="00F4049D">
        <w:t>,</w:t>
      </w:r>
      <w:r w:rsidR="00F4049D" w:rsidRPr="0083230A">
        <w:t xml:space="preserve"> and prepare </w:t>
      </w:r>
      <w:r w:rsidR="00F4049D">
        <w:t xml:space="preserve">data and </w:t>
      </w:r>
      <w:r w:rsidR="00F4049D" w:rsidRPr="0083230A">
        <w:t xml:space="preserve">documentation </w:t>
      </w:r>
      <w:r w:rsidR="00F4049D">
        <w:t xml:space="preserve">for genomic data submission </w:t>
      </w:r>
      <w:r w:rsidR="0078071C">
        <w:t xml:space="preserve">(see </w:t>
      </w:r>
      <w:hyperlink w:anchor="AppendixC" w:history="1">
        <w:r w:rsidR="0078071C" w:rsidRPr="00445C0F">
          <w:rPr>
            <w:rStyle w:val="Hyperlink"/>
          </w:rPr>
          <w:t>Appendix C</w:t>
        </w:r>
      </w:hyperlink>
      <w:r w:rsidR="0076210B">
        <w:t>.</w:t>
      </w:r>
      <w:r w:rsidR="0078071C">
        <w:t>)</w:t>
      </w:r>
    </w:p>
    <w:p w14:paraId="60B1D695" w14:textId="04468CAC" w:rsidR="00F4049D" w:rsidRDefault="00F4049D" w:rsidP="00330697">
      <w:pPr>
        <w:pStyle w:val="SL-FlLftSgl"/>
        <w:numPr>
          <w:ilvl w:val="0"/>
          <w:numId w:val="18"/>
        </w:numPr>
        <w:spacing w:after="120"/>
        <w:jc w:val="left"/>
      </w:pPr>
      <w:r>
        <w:t xml:space="preserve">Inform the biospecimen repository at the Frederick National Laboratory for Cancer Research (FNLCR) of the CLO’s intent to submit biospecimens. </w:t>
      </w:r>
    </w:p>
    <w:p w14:paraId="5849962E" w14:textId="543F6F79" w:rsidR="008E2637" w:rsidRDefault="008E2637" w:rsidP="006E4CE4">
      <w:pPr>
        <w:pStyle w:val="SL-FlLftSgl"/>
        <w:numPr>
          <w:ilvl w:val="1"/>
          <w:numId w:val="18"/>
        </w:numPr>
        <w:tabs>
          <w:tab w:val="clear" w:pos="1440"/>
          <w:tab w:val="left" w:pos="990"/>
        </w:tabs>
        <w:spacing w:after="120"/>
        <w:ind w:left="1080" w:hanging="270"/>
        <w:jc w:val="left"/>
      </w:pPr>
      <w:r>
        <w:t xml:space="preserve">Submit </w:t>
      </w:r>
      <w:r w:rsidR="00D86B26">
        <w:t xml:space="preserve">the </w:t>
      </w:r>
      <w:r w:rsidR="00EB493D">
        <w:t xml:space="preserve">Material Transfer Manifest for Biospecimen </w:t>
      </w:r>
      <w:r w:rsidR="000B05D4">
        <w:t>S</w:t>
      </w:r>
      <w:r w:rsidR="00EB493D">
        <w:t>ubmission to the FNLCR and</w:t>
      </w:r>
      <w:r>
        <w:t xml:space="preserve"> to DCP</w:t>
      </w:r>
      <w:r w:rsidR="00997845">
        <w:t xml:space="preserve"> (see </w:t>
      </w:r>
      <w:hyperlink w:anchor="AppendixB" w:history="1">
        <w:r w:rsidR="00997845" w:rsidRPr="00445C0F">
          <w:rPr>
            <w:rStyle w:val="Hyperlink"/>
          </w:rPr>
          <w:t>Appendix B</w:t>
        </w:r>
      </w:hyperlink>
      <w:r w:rsidR="001A2110">
        <w:t xml:space="preserve"> and </w:t>
      </w:r>
      <w:hyperlink r:id="rId10" w:history="1">
        <w:r w:rsidR="001A2110" w:rsidRPr="00FF5D42">
          <w:rPr>
            <w:rStyle w:val="Hyperlink"/>
          </w:rPr>
          <w:t>SOP13c</w:t>
        </w:r>
        <w:r w:rsidR="00C37D58" w:rsidRPr="00FF5D42">
          <w:rPr>
            <w:rStyle w:val="Hyperlink"/>
          </w:rPr>
          <w:t>: Material Transfer Manifest for Biospecimen Submission</w:t>
        </w:r>
      </w:hyperlink>
      <w:r w:rsidR="00997845">
        <w:t>)</w:t>
      </w:r>
      <w:r w:rsidR="0076210B">
        <w:t>.</w:t>
      </w:r>
    </w:p>
    <w:p w14:paraId="1A1358BA" w14:textId="465DB478" w:rsidR="008E2637" w:rsidRDefault="008E2637" w:rsidP="006E4CE4">
      <w:pPr>
        <w:pStyle w:val="SL-FlLftSgl"/>
        <w:numPr>
          <w:ilvl w:val="1"/>
          <w:numId w:val="18"/>
        </w:numPr>
        <w:tabs>
          <w:tab w:val="clear" w:pos="1440"/>
          <w:tab w:val="left" w:pos="990"/>
        </w:tabs>
        <w:spacing w:after="120"/>
        <w:ind w:hanging="630"/>
        <w:jc w:val="left"/>
      </w:pPr>
      <w:r>
        <w:t xml:space="preserve">Submit biospecimens to the </w:t>
      </w:r>
      <w:r w:rsidR="00EB493D">
        <w:t xml:space="preserve">FNLCR </w:t>
      </w:r>
      <w:r>
        <w:t>as directed by DCP</w:t>
      </w:r>
      <w:r w:rsidR="00DB0AC2">
        <w:t xml:space="preserve"> (see</w:t>
      </w:r>
      <w:r w:rsidR="0078071C">
        <w:t xml:space="preserve"> </w:t>
      </w:r>
      <w:hyperlink w:anchor="AppendixB" w:history="1">
        <w:r w:rsidR="00DB0AC2" w:rsidRPr="00445C0F">
          <w:rPr>
            <w:rStyle w:val="Hyperlink"/>
          </w:rPr>
          <w:t>Appendix B</w:t>
        </w:r>
      </w:hyperlink>
      <w:r w:rsidR="00DB0AC2">
        <w:t>)</w:t>
      </w:r>
      <w:r w:rsidR="0076210B">
        <w:t>.</w:t>
      </w:r>
    </w:p>
    <w:p w14:paraId="733F8E44" w14:textId="0F211CD3" w:rsidR="00FB4A37" w:rsidRDefault="00D86B26" w:rsidP="00330697">
      <w:pPr>
        <w:pStyle w:val="SL-FlLftSgl"/>
        <w:numPr>
          <w:ilvl w:val="0"/>
          <w:numId w:val="18"/>
        </w:numPr>
        <w:spacing w:after="60"/>
        <w:jc w:val="left"/>
      </w:pPr>
      <w:r>
        <w:t>Verify r</w:t>
      </w:r>
      <w:r w:rsidR="00F553B2">
        <w:t>eceipt of DCP</w:t>
      </w:r>
      <w:r>
        <w:t>’s</w:t>
      </w:r>
      <w:r w:rsidR="00C36E77">
        <w:t xml:space="preserve"> </w:t>
      </w:r>
      <w:r w:rsidR="00F553B2">
        <w:t>approval of the draft manuscript</w:t>
      </w:r>
      <w:r w:rsidR="006C19EA">
        <w:t xml:space="preserve">. </w:t>
      </w:r>
    </w:p>
    <w:p w14:paraId="6841B778" w14:textId="27A53E06" w:rsidR="008E2637" w:rsidRDefault="004466DC" w:rsidP="0085159D">
      <w:pPr>
        <w:pStyle w:val="SL-FlLftSgl"/>
        <w:spacing w:before="60" w:after="120"/>
        <w:ind w:left="990" w:hanging="270"/>
        <w:jc w:val="left"/>
      </w:pPr>
      <w:r>
        <w:t>a.</w:t>
      </w:r>
      <w:r w:rsidR="006C19EA" w:rsidRPr="00A41FB7">
        <w:t xml:space="preserve"> The final publication and/or notification of the publication should be submitted to the DCP PIO when received by the CLO</w:t>
      </w:r>
      <w:r w:rsidR="006C19EA" w:rsidRPr="00B74962">
        <w:t>.</w:t>
      </w:r>
    </w:p>
    <w:p w14:paraId="3C285EAB" w14:textId="77777777" w:rsidR="00DD265D" w:rsidRDefault="00DD265D" w:rsidP="00831288">
      <w:pPr>
        <w:pStyle w:val="Heading3"/>
        <w:spacing w:before="280" w:after="280" w:line="240" w:lineRule="auto"/>
        <w:jc w:val="left"/>
      </w:pPr>
      <w:r w:rsidRPr="00DF6A08">
        <w:t>Documentation Require</w:t>
      </w:r>
      <w:r w:rsidR="006113F0">
        <w:t xml:space="preserve">ments:  </w:t>
      </w:r>
    </w:p>
    <w:p w14:paraId="73C4AB6C" w14:textId="1DB26B94" w:rsidR="00CB3992" w:rsidRDefault="002A3C47" w:rsidP="00B03246">
      <w:pPr>
        <w:pStyle w:val="P1-StandPara"/>
        <w:spacing w:line="240" w:lineRule="auto"/>
        <w:ind w:left="360" w:firstLine="0"/>
      </w:pPr>
      <w:r>
        <w:t xml:space="preserve">Each PO and CLO is </w:t>
      </w:r>
      <w:r w:rsidR="00F72C76">
        <w:t xml:space="preserve">responsible for maintaining </w:t>
      </w:r>
      <w:r w:rsidR="00CB3992">
        <w:t xml:space="preserve">all </w:t>
      </w:r>
      <w:r>
        <w:t>study records</w:t>
      </w:r>
      <w:r w:rsidR="00CB3992" w:rsidRPr="00930EDD">
        <w:rPr>
          <w:szCs w:val="22"/>
        </w:rPr>
        <w:t>, including source documentation, case report forms, laboratory data, pharmacy documentation, regulatory documents, and study communications</w:t>
      </w:r>
      <w:r w:rsidR="00CB3992">
        <w:t xml:space="preserve"> </w:t>
      </w:r>
      <w:r>
        <w:t>in a secure manner.</w:t>
      </w:r>
    </w:p>
    <w:p w14:paraId="5AF13E40" w14:textId="57E86C0C" w:rsidR="00CB3992" w:rsidRPr="006911B4" w:rsidRDefault="00CB3992" w:rsidP="00683C17">
      <w:pPr>
        <w:pStyle w:val="P1-StandPara"/>
        <w:numPr>
          <w:ilvl w:val="0"/>
          <w:numId w:val="26"/>
        </w:numPr>
        <w:spacing w:before="240" w:after="120" w:line="240" w:lineRule="auto"/>
      </w:pPr>
      <w:r w:rsidRPr="00930EDD">
        <w:rPr>
          <w:szCs w:val="22"/>
        </w:rPr>
        <w:lastRenderedPageBreak/>
        <w:t>Study records will be accessible for inspection by authorized National Cancer Institute/Division of Cancer Prevention (NCI/DCP)</w:t>
      </w:r>
      <w:r w:rsidR="00683C17" w:rsidRPr="00683C17">
        <w:t xml:space="preserve"> </w:t>
      </w:r>
      <w:r w:rsidR="00683C17" w:rsidRPr="00683C17">
        <w:rPr>
          <w:szCs w:val="22"/>
        </w:rPr>
        <w:t xml:space="preserve">representatives, the </w:t>
      </w:r>
      <w:r w:rsidR="000B05D4">
        <w:rPr>
          <w:szCs w:val="22"/>
        </w:rPr>
        <w:t xml:space="preserve">local </w:t>
      </w:r>
      <w:r w:rsidR="00683C17" w:rsidRPr="00683C17">
        <w:rPr>
          <w:szCs w:val="22"/>
        </w:rPr>
        <w:t>IRB and CIRB</w:t>
      </w:r>
      <w:r w:rsidR="00B806FE">
        <w:rPr>
          <w:szCs w:val="22"/>
        </w:rPr>
        <w:t xml:space="preserve">, </w:t>
      </w:r>
      <w:r w:rsidRPr="00930EDD">
        <w:rPr>
          <w:szCs w:val="22"/>
        </w:rPr>
        <w:t>Food and Drug Administration (FDA) personnel</w:t>
      </w:r>
      <w:r w:rsidR="00B806FE">
        <w:rPr>
          <w:szCs w:val="22"/>
        </w:rPr>
        <w:t>,</w:t>
      </w:r>
      <w:r w:rsidR="00B806FE" w:rsidRPr="00683C17">
        <w:t xml:space="preserve"> </w:t>
      </w:r>
      <w:r w:rsidR="00B806FE" w:rsidRPr="00683C17">
        <w:rPr>
          <w:szCs w:val="22"/>
        </w:rPr>
        <w:t>and</w:t>
      </w:r>
      <w:r w:rsidR="00341D47">
        <w:rPr>
          <w:szCs w:val="22"/>
        </w:rPr>
        <w:t>/or</w:t>
      </w:r>
      <w:r w:rsidR="00683C17" w:rsidRPr="00683C17">
        <w:rPr>
          <w:szCs w:val="22"/>
        </w:rPr>
        <w:t xml:space="preserve"> any drug company supporting the study.</w:t>
      </w:r>
    </w:p>
    <w:p w14:paraId="73EE0C5E" w14:textId="77777777" w:rsidR="00CB3992" w:rsidRPr="006911B4" w:rsidRDefault="00CB3992" w:rsidP="00291D1B">
      <w:pPr>
        <w:pStyle w:val="P1-StandPara"/>
        <w:numPr>
          <w:ilvl w:val="0"/>
          <w:numId w:val="26"/>
        </w:numPr>
        <w:spacing w:before="240" w:after="120" w:line="240" w:lineRule="auto"/>
      </w:pPr>
      <w:r w:rsidRPr="00930EDD">
        <w:rPr>
          <w:szCs w:val="22"/>
        </w:rPr>
        <w:t>If the study is conducted outside of the United States, additional requirements may apply that are specific to the country of the site(s) participating in the study</w:t>
      </w:r>
      <w:r>
        <w:rPr>
          <w:szCs w:val="22"/>
        </w:rPr>
        <w:t>.</w:t>
      </w:r>
    </w:p>
    <w:p w14:paraId="0E5D5A4D" w14:textId="39FBC4FF" w:rsidR="00683C17" w:rsidRPr="00683C17" w:rsidRDefault="00CB3992" w:rsidP="00831288">
      <w:pPr>
        <w:numPr>
          <w:ilvl w:val="0"/>
          <w:numId w:val="26"/>
        </w:numPr>
        <w:spacing w:before="240" w:after="120"/>
        <w:rPr>
          <w:szCs w:val="22"/>
        </w:rPr>
      </w:pPr>
      <w:r w:rsidRPr="00930EDD">
        <w:rPr>
          <w:szCs w:val="22"/>
        </w:rPr>
        <w:t xml:space="preserve">The </w:t>
      </w:r>
      <w:r w:rsidR="00FB330B">
        <w:rPr>
          <w:szCs w:val="22"/>
        </w:rPr>
        <w:t xml:space="preserve">study records must be maintained </w:t>
      </w:r>
      <w:r w:rsidR="00BE4DD5">
        <w:rPr>
          <w:szCs w:val="22"/>
        </w:rPr>
        <w:t xml:space="preserve">and accessible </w:t>
      </w:r>
      <w:r w:rsidR="00FB330B">
        <w:rPr>
          <w:szCs w:val="22"/>
        </w:rPr>
        <w:t xml:space="preserve">as </w:t>
      </w:r>
      <w:r w:rsidR="00A40344">
        <w:rPr>
          <w:szCs w:val="22"/>
        </w:rPr>
        <w:t>specified</w:t>
      </w:r>
      <w:r w:rsidR="00FB330B">
        <w:rPr>
          <w:szCs w:val="22"/>
        </w:rPr>
        <w:t xml:space="preserve"> in the study protocol. </w:t>
      </w:r>
    </w:p>
    <w:p w14:paraId="6780C060" w14:textId="77777777" w:rsidR="002A3C47" w:rsidRDefault="002A3C47" w:rsidP="00831288">
      <w:pPr>
        <w:pStyle w:val="P1-StandPara"/>
        <w:numPr>
          <w:ilvl w:val="0"/>
          <w:numId w:val="26"/>
        </w:numPr>
        <w:spacing w:before="240" w:after="120" w:line="240" w:lineRule="atLeast"/>
        <w:rPr>
          <w:szCs w:val="22"/>
        </w:rPr>
      </w:pPr>
      <w:r>
        <w:t>The N</w:t>
      </w:r>
      <w:r w:rsidR="00F72C76">
        <w:t>CI/</w:t>
      </w:r>
      <w:r w:rsidR="00F72C76" w:rsidRPr="006911B4">
        <w:rPr>
          <w:szCs w:val="22"/>
        </w:rPr>
        <w:t>DCP</w:t>
      </w:r>
      <w:r w:rsidR="00F72C76">
        <w:t xml:space="preserve"> will be notified prior </w:t>
      </w:r>
      <w:r w:rsidR="005D3A99">
        <w:t xml:space="preserve">to </w:t>
      </w:r>
      <w:r w:rsidR="00F72C76">
        <w:t xml:space="preserve">the planned destruction of any study </w:t>
      </w:r>
      <w:r w:rsidR="00CB3992">
        <w:t>materials</w:t>
      </w:r>
      <w:r w:rsidR="00F72C76">
        <w:t xml:space="preserve">. </w:t>
      </w:r>
    </w:p>
    <w:p w14:paraId="51610A0D" w14:textId="77777777" w:rsidR="002A3C47" w:rsidRDefault="00DD265D" w:rsidP="00831288">
      <w:pPr>
        <w:pStyle w:val="Heading3"/>
        <w:spacing w:before="280" w:after="280" w:line="240" w:lineRule="auto"/>
        <w:jc w:val="left"/>
      </w:pPr>
      <w:r>
        <w:t>Additional Information</w:t>
      </w:r>
      <w:r w:rsidRPr="00DF6A08">
        <w:t>:</w:t>
      </w:r>
    </w:p>
    <w:p w14:paraId="12CB7323" w14:textId="0E06C21D" w:rsidR="002A3C47" w:rsidRPr="00FA29D5" w:rsidRDefault="002A3C47" w:rsidP="002A3C47">
      <w:pPr>
        <w:pStyle w:val="P1-StandPara"/>
        <w:spacing w:after="100" w:afterAutospacing="1" w:line="240" w:lineRule="auto"/>
        <w:ind w:left="360" w:firstLine="0"/>
        <w:jc w:val="left"/>
      </w:pPr>
      <w:r w:rsidRPr="00FA29D5">
        <w:t xml:space="preserve">Refer to the </w:t>
      </w:r>
      <w:hyperlink r:id="rId11" w:history="1">
        <w:r w:rsidR="005C671C" w:rsidRPr="000B05D4">
          <w:rPr>
            <w:rStyle w:val="Hyperlink"/>
          </w:rPr>
          <w:t>DCP Acronym List</w:t>
        </w:r>
      </w:hyperlink>
      <w:r w:rsidRPr="00BE487E">
        <w:t xml:space="preserve"> </w:t>
      </w:r>
      <w:r w:rsidRPr="00FA29D5">
        <w:t xml:space="preserve">to see the description </w:t>
      </w:r>
      <w:r>
        <w:t>of</w:t>
      </w:r>
      <w:r w:rsidRPr="00FA29D5">
        <w:t xml:space="preserve"> commonly used </w:t>
      </w:r>
      <w:r w:rsidRPr="000B05D4">
        <w:t>acronyms</w:t>
      </w:r>
      <w:r w:rsidRPr="00FA29D5">
        <w:t xml:space="preserve"> in this SOP.  </w:t>
      </w:r>
    </w:p>
    <w:p w14:paraId="220CB419" w14:textId="77777777" w:rsidR="00FB13CE" w:rsidRPr="00A753CE" w:rsidRDefault="00FB13CE" w:rsidP="00291D1B">
      <w:pPr>
        <w:pStyle w:val="P1-StandPara"/>
        <w:ind w:firstLine="0"/>
        <w:jc w:val="center"/>
        <w:rPr>
          <w:b/>
        </w:rPr>
      </w:pPr>
      <w:r w:rsidRPr="00A753CE">
        <w:rPr>
          <w:b/>
        </w:rPr>
        <w:t>Please send questions and comments to the DCP Help Desk at:</w:t>
      </w:r>
    </w:p>
    <w:p w14:paraId="5C65E744" w14:textId="77777777" w:rsidR="000D00E3" w:rsidRDefault="00FB13CE" w:rsidP="006911B4">
      <w:pPr>
        <w:pStyle w:val="P1-StandPara"/>
        <w:ind w:firstLine="360"/>
        <w:jc w:val="center"/>
        <w:rPr>
          <w:b/>
        </w:rPr>
      </w:pPr>
      <w:r w:rsidRPr="00A753CE">
        <w:rPr>
          <w:b/>
        </w:rPr>
        <w:t xml:space="preserve">1-844-901-4357 or </w:t>
      </w:r>
      <w:hyperlink r:id="rId12" w:history="1">
        <w:r w:rsidRPr="00A753CE">
          <w:rPr>
            <w:rStyle w:val="Hyperlink"/>
            <w:b/>
          </w:rPr>
          <w:t>dcphelpdesk@dcpais.com</w:t>
        </w:r>
      </w:hyperlink>
    </w:p>
    <w:p w14:paraId="4C6600C8" w14:textId="77777777" w:rsidR="002A3C47" w:rsidRDefault="000D00E3" w:rsidP="006911B4">
      <w:pPr>
        <w:pStyle w:val="P1-StandPara"/>
        <w:ind w:firstLine="360"/>
        <w:jc w:val="center"/>
        <w:rPr>
          <w:b/>
        </w:rPr>
      </w:pPr>
      <w:r>
        <w:rPr>
          <w:b/>
        </w:rPr>
        <w:br w:type="page"/>
      </w:r>
      <w:bookmarkStart w:id="0" w:name="AppendixA"/>
      <w:r>
        <w:rPr>
          <w:b/>
        </w:rPr>
        <w:lastRenderedPageBreak/>
        <w:t>Appendix A</w:t>
      </w:r>
      <w:bookmarkEnd w:id="0"/>
    </w:p>
    <w:p w14:paraId="0038D3C6" w14:textId="77777777" w:rsidR="00161CA5" w:rsidRDefault="00161CA5" w:rsidP="006911B4">
      <w:pPr>
        <w:pStyle w:val="P1-StandPara"/>
        <w:ind w:firstLine="360"/>
        <w:jc w:val="center"/>
        <w:rPr>
          <w:b/>
        </w:rPr>
      </w:pPr>
      <w:r>
        <w:rPr>
          <w:b/>
        </w:rPr>
        <w:t>Consortia 2012</w:t>
      </w:r>
    </w:p>
    <w:p w14:paraId="1F21019D" w14:textId="63D0070C" w:rsidR="00634051" w:rsidRDefault="00E417BF" w:rsidP="006911B4">
      <w:pPr>
        <w:pStyle w:val="P1-StandPara"/>
        <w:ind w:firstLine="360"/>
        <w:jc w:val="center"/>
        <w:rPr>
          <w:b/>
        </w:rPr>
      </w:pPr>
      <w:r>
        <w:rPr>
          <w:b/>
        </w:rPr>
        <w:t>Final Data</w:t>
      </w:r>
      <w:r w:rsidR="00D74EA2">
        <w:rPr>
          <w:b/>
        </w:rPr>
        <w:t>s</w:t>
      </w:r>
      <w:r>
        <w:rPr>
          <w:b/>
        </w:rPr>
        <w:t>et and Documentation Requirement</w:t>
      </w:r>
      <w:r w:rsidR="008238C4">
        <w:rPr>
          <w:b/>
        </w:rPr>
        <w:t>s</w:t>
      </w:r>
    </w:p>
    <w:p w14:paraId="50479DBB" w14:textId="77777777" w:rsidR="008238C4" w:rsidRDefault="008238C4" w:rsidP="006911B4">
      <w:pPr>
        <w:pStyle w:val="P1-StandPara"/>
        <w:ind w:firstLine="360"/>
        <w:jc w:val="center"/>
        <w:rPr>
          <w:b/>
        </w:rPr>
      </w:pPr>
    </w:p>
    <w:p w14:paraId="667AF1E9" w14:textId="77777777" w:rsidR="00161CA5" w:rsidRDefault="00161CA5" w:rsidP="006911B4">
      <w:pPr>
        <w:pStyle w:val="P1-StandPara"/>
        <w:ind w:firstLine="360"/>
        <w:jc w:val="center"/>
        <w:rPr>
          <w:b/>
        </w:rPr>
      </w:pPr>
    </w:p>
    <w:p w14:paraId="159F75D4" w14:textId="77777777" w:rsidR="008238C4" w:rsidRPr="0078770A" w:rsidRDefault="008238C4" w:rsidP="000C3814">
      <w:pPr>
        <w:spacing w:before="240" w:after="240" w:line="240" w:lineRule="auto"/>
        <w:rPr>
          <w:b/>
          <w:szCs w:val="22"/>
          <w:u w:val="single"/>
        </w:rPr>
      </w:pPr>
      <w:r w:rsidRPr="0078770A">
        <w:rPr>
          <w:b/>
          <w:szCs w:val="22"/>
          <w:u w:val="single"/>
        </w:rPr>
        <w:t>General Guidelines</w:t>
      </w:r>
    </w:p>
    <w:p w14:paraId="2177F4FF" w14:textId="77777777" w:rsidR="008238C4" w:rsidRPr="00330697" w:rsidRDefault="008238C4" w:rsidP="00D33144">
      <w:pPr>
        <w:pStyle w:val="ListParagraph"/>
        <w:numPr>
          <w:ilvl w:val="0"/>
          <w:numId w:val="31"/>
        </w:numPr>
        <w:spacing w:before="120"/>
        <w:contextualSpacing w:val="0"/>
        <w:rPr>
          <w:sz w:val="22"/>
          <w:szCs w:val="22"/>
        </w:rPr>
      </w:pPr>
      <w:r w:rsidRPr="00330697">
        <w:rPr>
          <w:sz w:val="22"/>
          <w:szCs w:val="22"/>
        </w:rPr>
        <w:t xml:space="preserve">The Consortia Lead Organization (CLO) will submit study-specific datasets, data dictionaries and other documentation for each study as directed by DCP and/or as specified in the Consortia contract.  </w:t>
      </w:r>
    </w:p>
    <w:p w14:paraId="11FEB035" w14:textId="35B31BF2" w:rsidR="008238C4" w:rsidRDefault="008238C4" w:rsidP="00D33144">
      <w:pPr>
        <w:pStyle w:val="ListParagraph"/>
        <w:numPr>
          <w:ilvl w:val="0"/>
          <w:numId w:val="31"/>
        </w:numPr>
        <w:spacing w:before="120"/>
        <w:contextualSpacing w:val="0"/>
        <w:rPr>
          <w:sz w:val="22"/>
          <w:szCs w:val="22"/>
        </w:rPr>
      </w:pPr>
      <w:r w:rsidRPr="00330697">
        <w:rPr>
          <w:sz w:val="22"/>
          <w:szCs w:val="22"/>
        </w:rPr>
        <w:t xml:space="preserve">Digital delivery of the deliverables (listed below) is required. </w:t>
      </w:r>
    </w:p>
    <w:p w14:paraId="0ADD2094" w14:textId="77777777" w:rsidR="00E604C4" w:rsidRDefault="00E604C4" w:rsidP="00E604C4">
      <w:pPr>
        <w:tabs>
          <w:tab w:val="left" w:pos="1170"/>
        </w:tabs>
        <w:spacing w:before="40" w:line="240" w:lineRule="auto"/>
        <w:ind w:left="1166" w:hanging="446"/>
        <w:rPr>
          <w:szCs w:val="22"/>
        </w:rPr>
      </w:pPr>
      <w:r>
        <w:rPr>
          <w:szCs w:val="22"/>
        </w:rPr>
        <w:t>1.</w:t>
      </w:r>
      <w:r>
        <w:rPr>
          <w:szCs w:val="22"/>
        </w:rPr>
        <w:tab/>
        <w:t>All deliverables will be submitted via a secure managed file transfer.</w:t>
      </w:r>
    </w:p>
    <w:p w14:paraId="7D66BEE4" w14:textId="55507674" w:rsidR="008238C4" w:rsidRDefault="008238C4" w:rsidP="00E604C4">
      <w:pPr>
        <w:tabs>
          <w:tab w:val="left" w:pos="1170"/>
        </w:tabs>
        <w:spacing w:before="40" w:line="240" w:lineRule="auto"/>
        <w:ind w:left="1166" w:hanging="446"/>
        <w:rPr>
          <w:szCs w:val="22"/>
        </w:rPr>
      </w:pPr>
      <w:r w:rsidRPr="008238C4">
        <w:rPr>
          <w:szCs w:val="22"/>
        </w:rPr>
        <w:t>2.</w:t>
      </w:r>
      <w:r w:rsidRPr="008238C4">
        <w:rPr>
          <w:szCs w:val="22"/>
        </w:rPr>
        <w:tab/>
      </w:r>
      <w:r w:rsidR="003D7D05">
        <w:rPr>
          <w:szCs w:val="22"/>
        </w:rPr>
        <w:t>A member of the DCP Study Closeout Team will contact the CLO to provide instructions and assistance for the secure transfer of the required materials.</w:t>
      </w:r>
    </w:p>
    <w:p w14:paraId="1AA02DE9" w14:textId="0C04C526" w:rsidR="00B353D3" w:rsidRDefault="00B353D3" w:rsidP="00E604C4">
      <w:pPr>
        <w:tabs>
          <w:tab w:val="left" w:pos="1170"/>
        </w:tabs>
        <w:spacing w:before="40" w:line="240" w:lineRule="auto"/>
        <w:ind w:left="1166" w:hanging="446"/>
        <w:rPr>
          <w:szCs w:val="22"/>
        </w:rPr>
      </w:pPr>
      <w:r>
        <w:rPr>
          <w:szCs w:val="22"/>
        </w:rPr>
        <w:t>3.</w:t>
      </w:r>
      <w:r>
        <w:rPr>
          <w:szCs w:val="22"/>
        </w:rPr>
        <w:tab/>
        <w:t xml:space="preserve">A completed </w:t>
      </w:r>
      <w:r w:rsidRPr="002059AA">
        <w:rPr>
          <w:iCs/>
          <w:szCs w:val="22"/>
        </w:rPr>
        <w:t xml:space="preserve">Final Dataset and Documentation </w:t>
      </w:r>
      <w:r w:rsidR="001E14FF">
        <w:rPr>
          <w:iCs/>
          <w:szCs w:val="22"/>
        </w:rPr>
        <w:t>Submission</w:t>
      </w:r>
      <w:r w:rsidR="001E14FF" w:rsidRPr="002059AA">
        <w:rPr>
          <w:iCs/>
          <w:szCs w:val="22"/>
        </w:rPr>
        <w:t xml:space="preserve"> </w:t>
      </w:r>
      <w:r w:rsidRPr="002059AA">
        <w:rPr>
          <w:iCs/>
          <w:szCs w:val="22"/>
        </w:rPr>
        <w:t>Summary</w:t>
      </w:r>
      <w:r w:rsidR="003D7D05">
        <w:rPr>
          <w:i/>
          <w:szCs w:val="22"/>
        </w:rPr>
        <w:t xml:space="preserve"> </w:t>
      </w:r>
      <w:r>
        <w:rPr>
          <w:szCs w:val="22"/>
        </w:rPr>
        <w:t>should be submitted with the datasets and documentation.</w:t>
      </w:r>
      <w:r w:rsidR="00DD0D94">
        <w:rPr>
          <w:szCs w:val="22"/>
        </w:rPr>
        <w:t xml:space="preserve"> (See </w:t>
      </w:r>
      <w:hyperlink r:id="rId13" w:history="1">
        <w:r w:rsidR="00DD0D94" w:rsidRPr="00FF5D42">
          <w:rPr>
            <w:rStyle w:val="Hyperlink"/>
            <w:szCs w:val="22"/>
          </w:rPr>
          <w:t>SOP13b</w:t>
        </w:r>
        <w:r w:rsidR="001E14FF" w:rsidRPr="00FF5D42">
          <w:rPr>
            <w:rStyle w:val="Hyperlink"/>
            <w:szCs w:val="22"/>
          </w:rPr>
          <w:t xml:space="preserve">: </w:t>
        </w:r>
        <w:r w:rsidR="001E14FF" w:rsidRPr="00FF5D42">
          <w:rPr>
            <w:rStyle w:val="Hyperlink"/>
          </w:rPr>
          <w:t>Final Dataset and Documentation Submission Summary</w:t>
        </w:r>
      </w:hyperlink>
      <w:r w:rsidR="001E14FF">
        <w:rPr>
          <w:color w:val="222222"/>
        </w:rPr>
        <w:t>)</w:t>
      </w:r>
    </w:p>
    <w:p w14:paraId="48D999A4" w14:textId="0E0E04C3" w:rsidR="00B353D3" w:rsidRPr="008238C4" w:rsidRDefault="00B353D3" w:rsidP="00B353D3">
      <w:pPr>
        <w:tabs>
          <w:tab w:val="left" w:pos="1170"/>
        </w:tabs>
        <w:spacing w:before="40" w:line="240" w:lineRule="auto"/>
        <w:ind w:left="1166" w:hanging="446"/>
        <w:rPr>
          <w:szCs w:val="22"/>
        </w:rPr>
      </w:pPr>
      <w:r>
        <w:rPr>
          <w:szCs w:val="22"/>
        </w:rPr>
        <w:t>4.</w:t>
      </w:r>
      <w:r>
        <w:rPr>
          <w:szCs w:val="22"/>
        </w:rPr>
        <w:tab/>
        <w:t>All deliverables and related documents should be organized for submission as a single zip file.</w:t>
      </w:r>
    </w:p>
    <w:p w14:paraId="69B6366C" w14:textId="5D2DCE6F" w:rsidR="008238C4" w:rsidRPr="00074ACF" w:rsidRDefault="008238C4" w:rsidP="00D33144">
      <w:pPr>
        <w:pStyle w:val="ListParagraph"/>
        <w:numPr>
          <w:ilvl w:val="0"/>
          <w:numId w:val="31"/>
        </w:numPr>
        <w:spacing w:before="120"/>
        <w:rPr>
          <w:sz w:val="22"/>
          <w:szCs w:val="22"/>
        </w:rPr>
      </w:pPr>
      <w:r w:rsidRPr="00330697">
        <w:rPr>
          <w:sz w:val="22"/>
          <w:szCs w:val="22"/>
        </w:rPr>
        <w:t>The final dataset</w:t>
      </w:r>
      <w:r w:rsidR="00B353D3">
        <w:rPr>
          <w:sz w:val="22"/>
          <w:szCs w:val="22"/>
        </w:rPr>
        <w:t>s</w:t>
      </w:r>
      <w:r w:rsidRPr="00330697">
        <w:rPr>
          <w:sz w:val="22"/>
          <w:szCs w:val="22"/>
        </w:rPr>
        <w:t xml:space="preserve"> and related documentation should be submitted to DCP </w:t>
      </w:r>
      <w:r w:rsidR="007C2787" w:rsidRPr="00074ACF">
        <w:rPr>
          <w:sz w:val="22"/>
          <w:szCs w:val="22"/>
        </w:rPr>
        <w:t xml:space="preserve">within </w:t>
      </w:r>
      <w:r w:rsidRPr="00074ACF">
        <w:rPr>
          <w:sz w:val="22"/>
          <w:szCs w:val="22"/>
          <w:u w:val="single"/>
        </w:rPr>
        <w:t xml:space="preserve">120 </w:t>
      </w:r>
      <w:r w:rsidR="00F52D29" w:rsidRPr="00074ACF">
        <w:rPr>
          <w:sz w:val="22"/>
          <w:szCs w:val="22"/>
          <w:u w:val="single"/>
        </w:rPr>
        <w:t xml:space="preserve">calendar </w:t>
      </w:r>
      <w:r w:rsidRPr="00074ACF">
        <w:rPr>
          <w:sz w:val="22"/>
          <w:szCs w:val="22"/>
          <w:u w:val="single"/>
        </w:rPr>
        <w:t>days</w:t>
      </w:r>
      <w:r w:rsidRPr="00074ACF">
        <w:rPr>
          <w:sz w:val="22"/>
          <w:szCs w:val="22"/>
        </w:rPr>
        <w:t xml:space="preserve"> after completion of the study.  </w:t>
      </w:r>
    </w:p>
    <w:p w14:paraId="549D4DB6" w14:textId="22720E4C" w:rsidR="00A7091C" w:rsidRPr="00074ACF" w:rsidRDefault="005B40D7" w:rsidP="00E604C4">
      <w:pPr>
        <w:pStyle w:val="ListParagraph"/>
        <w:numPr>
          <w:ilvl w:val="1"/>
          <w:numId w:val="31"/>
        </w:numPr>
        <w:tabs>
          <w:tab w:val="left" w:pos="1170"/>
        </w:tabs>
        <w:spacing w:before="120"/>
        <w:ind w:left="1170" w:hanging="450"/>
        <w:rPr>
          <w:sz w:val="22"/>
          <w:szCs w:val="22"/>
        </w:rPr>
      </w:pPr>
      <w:r w:rsidRPr="00074ACF">
        <w:rPr>
          <w:sz w:val="22"/>
          <w:szCs w:val="22"/>
        </w:rPr>
        <w:t>DCP will notify the Consortium</w:t>
      </w:r>
      <w:r w:rsidR="00A7091C" w:rsidRPr="00074ACF">
        <w:rPr>
          <w:sz w:val="22"/>
          <w:szCs w:val="22"/>
        </w:rPr>
        <w:t xml:space="preserve"> PI</w:t>
      </w:r>
      <w:r w:rsidRPr="00074ACF">
        <w:rPr>
          <w:sz w:val="22"/>
          <w:szCs w:val="22"/>
        </w:rPr>
        <w:t xml:space="preserve"> and study staff of the expected due date for submission of final datasets and documentation.</w:t>
      </w:r>
    </w:p>
    <w:p w14:paraId="0E52C858" w14:textId="5CD5643C" w:rsidR="008238C4" w:rsidRPr="00074ACF" w:rsidRDefault="00E604C4" w:rsidP="00E604C4">
      <w:pPr>
        <w:pStyle w:val="ListParagraph"/>
        <w:spacing w:before="40" w:after="120"/>
        <w:ind w:left="1170" w:hanging="450"/>
        <w:contextualSpacing w:val="0"/>
        <w:rPr>
          <w:sz w:val="22"/>
          <w:szCs w:val="22"/>
        </w:rPr>
      </w:pPr>
      <w:r w:rsidRPr="00074ACF">
        <w:rPr>
          <w:sz w:val="22"/>
          <w:szCs w:val="22"/>
        </w:rPr>
        <w:t>2</w:t>
      </w:r>
      <w:r w:rsidR="008238C4" w:rsidRPr="00074ACF">
        <w:rPr>
          <w:sz w:val="22"/>
          <w:szCs w:val="22"/>
        </w:rPr>
        <w:t>.</w:t>
      </w:r>
      <w:r w:rsidR="008238C4" w:rsidRPr="00074ACF">
        <w:rPr>
          <w:sz w:val="22"/>
          <w:szCs w:val="22"/>
        </w:rPr>
        <w:tab/>
        <w:t>Final biomarker data</w:t>
      </w:r>
      <w:r w:rsidR="003672D0" w:rsidRPr="00074ACF">
        <w:rPr>
          <w:sz w:val="22"/>
          <w:szCs w:val="22"/>
        </w:rPr>
        <w:t>,</w:t>
      </w:r>
      <w:r w:rsidR="008238C4" w:rsidRPr="00074ACF">
        <w:rPr>
          <w:sz w:val="22"/>
          <w:szCs w:val="22"/>
        </w:rPr>
        <w:t xml:space="preserve"> </w:t>
      </w:r>
      <w:r w:rsidR="00B353D3" w:rsidRPr="00074ACF">
        <w:rPr>
          <w:sz w:val="22"/>
          <w:szCs w:val="22"/>
        </w:rPr>
        <w:t xml:space="preserve">and biomarker and other laboratory study analyses </w:t>
      </w:r>
      <w:r w:rsidR="008238C4" w:rsidRPr="00074ACF">
        <w:rPr>
          <w:sz w:val="22"/>
          <w:szCs w:val="22"/>
        </w:rPr>
        <w:t xml:space="preserve">may be submitted </w:t>
      </w:r>
      <w:r w:rsidR="00510C75" w:rsidRPr="00074ACF">
        <w:rPr>
          <w:sz w:val="22"/>
          <w:szCs w:val="22"/>
        </w:rPr>
        <w:t xml:space="preserve">after the expected due date </w:t>
      </w:r>
      <w:r w:rsidR="00B353D3" w:rsidRPr="00074ACF">
        <w:rPr>
          <w:sz w:val="22"/>
          <w:szCs w:val="22"/>
        </w:rPr>
        <w:t xml:space="preserve">with prior approval by DCP.  </w:t>
      </w:r>
    </w:p>
    <w:p w14:paraId="18DC9C28" w14:textId="234B456B" w:rsidR="008238C4" w:rsidRPr="00074ACF" w:rsidRDefault="007B75B8" w:rsidP="004D35A4">
      <w:pPr>
        <w:pStyle w:val="ListParagraph"/>
        <w:spacing w:before="60"/>
        <w:ind w:left="450" w:hanging="450"/>
        <w:rPr>
          <w:sz w:val="22"/>
          <w:szCs w:val="22"/>
        </w:rPr>
      </w:pPr>
      <w:r w:rsidRPr="00074ACF">
        <w:rPr>
          <w:sz w:val="22"/>
          <w:szCs w:val="22"/>
        </w:rPr>
        <w:t>D.</w:t>
      </w:r>
      <w:r w:rsidRPr="00074ACF">
        <w:rPr>
          <w:sz w:val="22"/>
          <w:szCs w:val="22"/>
        </w:rPr>
        <w:tab/>
      </w:r>
      <w:r w:rsidR="00045DED" w:rsidRPr="00074ACF">
        <w:rPr>
          <w:sz w:val="22"/>
          <w:szCs w:val="22"/>
        </w:rPr>
        <w:t xml:space="preserve">Analytic and raw datasets of the </w:t>
      </w:r>
      <w:r w:rsidR="004D35A4" w:rsidRPr="00074ACF">
        <w:rPr>
          <w:sz w:val="22"/>
          <w:szCs w:val="22"/>
        </w:rPr>
        <w:t xml:space="preserve">final de-identified </w:t>
      </w:r>
      <w:r w:rsidR="00045DED" w:rsidRPr="00074ACF">
        <w:rPr>
          <w:sz w:val="22"/>
          <w:szCs w:val="22"/>
        </w:rPr>
        <w:t>data</w:t>
      </w:r>
      <w:r w:rsidR="004D35A4" w:rsidRPr="00074ACF">
        <w:rPr>
          <w:sz w:val="22"/>
          <w:szCs w:val="22"/>
        </w:rPr>
        <w:t xml:space="preserve"> </w:t>
      </w:r>
      <w:r w:rsidR="006F0AAD" w:rsidRPr="00074ACF">
        <w:rPr>
          <w:sz w:val="22"/>
          <w:szCs w:val="22"/>
        </w:rPr>
        <w:t xml:space="preserve">from each study and related study documents </w:t>
      </w:r>
      <w:r w:rsidR="004D35A4" w:rsidRPr="00074ACF">
        <w:rPr>
          <w:sz w:val="22"/>
          <w:szCs w:val="22"/>
        </w:rPr>
        <w:t xml:space="preserve">will be posted to the Cancer Data Access System (CDAS) </w:t>
      </w:r>
      <w:r w:rsidR="003672D0" w:rsidRPr="00074ACF">
        <w:rPr>
          <w:sz w:val="22"/>
          <w:szCs w:val="22"/>
        </w:rPr>
        <w:t>to provide</w:t>
      </w:r>
      <w:r w:rsidR="006F0AAD" w:rsidRPr="00074ACF">
        <w:rPr>
          <w:sz w:val="22"/>
          <w:szCs w:val="22"/>
        </w:rPr>
        <w:t xml:space="preserve"> access to</w:t>
      </w:r>
      <w:r w:rsidR="004D35A4" w:rsidRPr="00074ACF">
        <w:rPr>
          <w:sz w:val="22"/>
          <w:szCs w:val="22"/>
        </w:rPr>
        <w:t xml:space="preserve"> these data </w:t>
      </w:r>
      <w:r w:rsidR="003672D0" w:rsidRPr="00074ACF">
        <w:rPr>
          <w:sz w:val="22"/>
          <w:szCs w:val="22"/>
        </w:rPr>
        <w:t>to</w:t>
      </w:r>
      <w:r w:rsidR="004D35A4" w:rsidRPr="00074ACF">
        <w:rPr>
          <w:sz w:val="22"/>
          <w:szCs w:val="22"/>
        </w:rPr>
        <w:t xml:space="preserve"> the research community.  Please see </w:t>
      </w:r>
      <w:hyperlink r:id="rId14" w:history="1">
        <w:r w:rsidR="004D35A4" w:rsidRPr="00074ACF">
          <w:rPr>
            <w:rStyle w:val="Hyperlink"/>
            <w:sz w:val="22"/>
            <w:szCs w:val="22"/>
          </w:rPr>
          <w:t>https://cdas.cancer.gov/eppt/</w:t>
        </w:r>
      </w:hyperlink>
      <w:r w:rsidR="004D35A4" w:rsidRPr="00074ACF">
        <w:rPr>
          <w:sz w:val="22"/>
          <w:szCs w:val="22"/>
        </w:rPr>
        <w:t xml:space="preserve"> for additional information.</w:t>
      </w:r>
    </w:p>
    <w:p w14:paraId="625F693F" w14:textId="77777777" w:rsidR="008238C4" w:rsidRPr="00074ACF" w:rsidRDefault="008238C4" w:rsidP="000C3814">
      <w:pPr>
        <w:spacing w:before="240" w:after="240" w:line="240" w:lineRule="auto"/>
        <w:rPr>
          <w:b/>
          <w:szCs w:val="22"/>
          <w:u w:val="single"/>
        </w:rPr>
      </w:pPr>
      <w:r w:rsidRPr="00074ACF">
        <w:rPr>
          <w:b/>
          <w:szCs w:val="22"/>
          <w:u w:val="single"/>
        </w:rPr>
        <w:t>Deliverables</w:t>
      </w:r>
    </w:p>
    <w:p w14:paraId="7847D00F" w14:textId="77777777" w:rsidR="007D6686" w:rsidRPr="00074ACF" w:rsidRDefault="007D6686" w:rsidP="007D6686">
      <w:pPr>
        <w:pStyle w:val="ListParagraph"/>
        <w:numPr>
          <w:ilvl w:val="1"/>
          <w:numId w:val="28"/>
        </w:numPr>
        <w:spacing w:before="120"/>
        <w:ind w:left="446" w:hanging="446"/>
        <w:contextualSpacing w:val="0"/>
        <w:rPr>
          <w:sz w:val="22"/>
          <w:szCs w:val="22"/>
        </w:rPr>
      </w:pPr>
      <w:r w:rsidRPr="00074ACF">
        <w:rPr>
          <w:sz w:val="22"/>
          <w:szCs w:val="22"/>
        </w:rPr>
        <w:t>Final MDS Report</w:t>
      </w:r>
    </w:p>
    <w:p w14:paraId="7605C5AF" w14:textId="15847835" w:rsidR="007D6686" w:rsidRPr="00074ACF" w:rsidRDefault="007D6686" w:rsidP="007D6686">
      <w:pPr>
        <w:pStyle w:val="ListParagraph"/>
        <w:tabs>
          <w:tab w:val="left" w:pos="1080"/>
          <w:tab w:val="left" w:pos="1170"/>
        </w:tabs>
        <w:spacing w:before="40"/>
        <w:ind w:left="1166" w:hanging="446"/>
        <w:contextualSpacing w:val="0"/>
        <w:rPr>
          <w:sz w:val="22"/>
          <w:szCs w:val="22"/>
        </w:rPr>
      </w:pPr>
      <w:r w:rsidRPr="00074ACF">
        <w:rPr>
          <w:sz w:val="22"/>
          <w:szCs w:val="22"/>
        </w:rPr>
        <w:t>1.</w:t>
      </w:r>
      <w:r w:rsidRPr="00074ACF">
        <w:rPr>
          <w:sz w:val="22"/>
          <w:szCs w:val="22"/>
        </w:rPr>
        <w:tab/>
        <w:t>The final MDS Report should be prepared from the locked data for the study</w:t>
      </w:r>
      <w:r w:rsidR="003D7D05" w:rsidRPr="00074ACF">
        <w:rPr>
          <w:sz w:val="22"/>
          <w:szCs w:val="22"/>
        </w:rPr>
        <w:t>.</w:t>
      </w:r>
      <w:r w:rsidRPr="00074ACF">
        <w:rPr>
          <w:sz w:val="22"/>
          <w:szCs w:val="22"/>
        </w:rPr>
        <w:t xml:space="preserve">   </w:t>
      </w:r>
    </w:p>
    <w:p w14:paraId="567DBCB0" w14:textId="092ADC12" w:rsidR="007D6686" w:rsidRPr="00074ACF" w:rsidRDefault="007D6686" w:rsidP="007D6686">
      <w:pPr>
        <w:pStyle w:val="ListParagraph"/>
        <w:tabs>
          <w:tab w:val="left" w:pos="1080"/>
          <w:tab w:val="left" w:pos="1170"/>
        </w:tabs>
        <w:spacing w:before="40"/>
        <w:ind w:left="1170" w:hanging="450"/>
        <w:contextualSpacing w:val="0"/>
        <w:rPr>
          <w:sz w:val="22"/>
          <w:szCs w:val="22"/>
        </w:rPr>
      </w:pPr>
      <w:r w:rsidRPr="00074ACF">
        <w:rPr>
          <w:sz w:val="22"/>
          <w:szCs w:val="22"/>
        </w:rPr>
        <w:t>2.</w:t>
      </w:r>
      <w:r w:rsidRPr="00074ACF">
        <w:rPr>
          <w:sz w:val="22"/>
          <w:szCs w:val="22"/>
        </w:rPr>
        <w:tab/>
        <w:t xml:space="preserve">The final MDS Report and the code used to prepare the </w:t>
      </w:r>
      <w:r w:rsidR="00D86B26" w:rsidRPr="00074ACF">
        <w:rPr>
          <w:sz w:val="22"/>
          <w:szCs w:val="22"/>
        </w:rPr>
        <w:t xml:space="preserve">MDS </w:t>
      </w:r>
      <w:r w:rsidRPr="00074ACF">
        <w:rPr>
          <w:sz w:val="22"/>
          <w:szCs w:val="22"/>
        </w:rPr>
        <w:t xml:space="preserve">Report should be submitted with the study-specific datasets so that the </w:t>
      </w:r>
      <w:r w:rsidR="00D86B26" w:rsidRPr="00074ACF">
        <w:rPr>
          <w:sz w:val="22"/>
          <w:szCs w:val="22"/>
        </w:rPr>
        <w:t xml:space="preserve">final MDS </w:t>
      </w:r>
      <w:r w:rsidRPr="00074ACF">
        <w:rPr>
          <w:sz w:val="22"/>
          <w:szCs w:val="22"/>
        </w:rPr>
        <w:t>Report can be replicated</w:t>
      </w:r>
      <w:r w:rsidR="007C2787" w:rsidRPr="00074ACF">
        <w:rPr>
          <w:sz w:val="22"/>
          <w:szCs w:val="22"/>
        </w:rPr>
        <w:t xml:space="preserve"> as needed.</w:t>
      </w:r>
    </w:p>
    <w:p w14:paraId="3E2B760E" w14:textId="7D81F086" w:rsidR="003D7D05" w:rsidRPr="00074ACF" w:rsidRDefault="00D474EB" w:rsidP="00244335">
      <w:pPr>
        <w:pStyle w:val="ListParagraph"/>
        <w:numPr>
          <w:ilvl w:val="1"/>
          <w:numId w:val="23"/>
        </w:numPr>
        <w:tabs>
          <w:tab w:val="left" w:pos="1080"/>
          <w:tab w:val="left" w:pos="1170"/>
          <w:tab w:val="left" w:pos="1530"/>
        </w:tabs>
        <w:spacing w:before="40"/>
        <w:ind w:left="1980" w:hanging="540"/>
        <w:rPr>
          <w:sz w:val="22"/>
          <w:szCs w:val="22"/>
        </w:rPr>
      </w:pPr>
      <w:r w:rsidRPr="00074ACF">
        <w:rPr>
          <w:sz w:val="22"/>
          <w:szCs w:val="22"/>
        </w:rPr>
        <w:t xml:space="preserve">The </w:t>
      </w:r>
      <w:r w:rsidR="003D7D05" w:rsidRPr="00074ACF">
        <w:rPr>
          <w:sz w:val="22"/>
          <w:szCs w:val="22"/>
        </w:rPr>
        <w:t xml:space="preserve">Final MDS Report </w:t>
      </w:r>
      <w:r w:rsidRPr="00074ACF">
        <w:rPr>
          <w:sz w:val="22"/>
          <w:szCs w:val="22"/>
        </w:rPr>
        <w:t xml:space="preserve">should also have been </w:t>
      </w:r>
      <w:r w:rsidR="003D7D05" w:rsidRPr="00074ACF">
        <w:rPr>
          <w:sz w:val="22"/>
          <w:szCs w:val="22"/>
        </w:rPr>
        <w:t xml:space="preserve">delivered to DCP as part of the regular monthly MDS submission. </w:t>
      </w:r>
    </w:p>
    <w:p w14:paraId="69E75580" w14:textId="77777777" w:rsidR="007D6686" w:rsidRPr="00074ACF" w:rsidRDefault="007D6686" w:rsidP="00817BCA">
      <w:pPr>
        <w:spacing w:before="60"/>
        <w:rPr>
          <w:sz w:val="20"/>
          <w:szCs w:val="22"/>
        </w:rPr>
      </w:pPr>
    </w:p>
    <w:p w14:paraId="01557101" w14:textId="7038F8C2" w:rsidR="008238C4" w:rsidRPr="00074ACF" w:rsidRDefault="008238C4" w:rsidP="008238C4">
      <w:pPr>
        <w:pStyle w:val="ListParagraph"/>
        <w:numPr>
          <w:ilvl w:val="1"/>
          <w:numId w:val="28"/>
        </w:numPr>
        <w:spacing w:before="60"/>
        <w:ind w:left="360"/>
        <w:contextualSpacing w:val="0"/>
        <w:rPr>
          <w:sz w:val="22"/>
          <w:szCs w:val="22"/>
        </w:rPr>
      </w:pPr>
      <w:r w:rsidRPr="00074ACF">
        <w:rPr>
          <w:sz w:val="22"/>
          <w:szCs w:val="22"/>
        </w:rPr>
        <w:t>Study-specific Datasets and Documentation</w:t>
      </w:r>
    </w:p>
    <w:p w14:paraId="45DCE20B" w14:textId="03A05FFD" w:rsidR="008238C4" w:rsidRPr="00074ACF" w:rsidRDefault="008238C4" w:rsidP="008238C4">
      <w:pPr>
        <w:pStyle w:val="ListParagraph"/>
        <w:numPr>
          <w:ilvl w:val="0"/>
          <w:numId w:val="29"/>
        </w:numPr>
        <w:spacing w:before="40"/>
        <w:ind w:left="1080"/>
        <w:contextualSpacing w:val="0"/>
        <w:rPr>
          <w:sz w:val="22"/>
          <w:szCs w:val="22"/>
        </w:rPr>
      </w:pPr>
      <w:r w:rsidRPr="00074ACF">
        <w:rPr>
          <w:sz w:val="22"/>
          <w:szCs w:val="22"/>
        </w:rPr>
        <w:t xml:space="preserve">Datasets are required for </w:t>
      </w:r>
      <w:r w:rsidRPr="00074ACF">
        <w:rPr>
          <w:sz w:val="22"/>
          <w:szCs w:val="22"/>
          <w:u w:val="single"/>
        </w:rPr>
        <w:t xml:space="preserve">all </w:t>
      </w:r>
      <w:r w:rsidRPr="00074ACF">
        <w:rPr>
          <w:sz w:val="22"/>
          <w:szCs w:val="22"/>
        </w:rPr>
        <w:t>clinical data, biomarker data, and other study-specific data</w:t>
      </w:r>
      <w:r w:rsidR="00100CD2" w:rsidRPr="00074ACF">
        <w:rPr>
          <w:sz w:val="22"/>
          <w:szCs w:val="22"/>
        </w:rPr>
        <w:t xml:space="preserve"> used for analyses</w:t>
      </w:r>
      <w:r w:rsidRPr="00074ACF">
        <w:rPr>
          <w:sz w:val="22"/>
          <w:szCs w:val="22"/>
        </w:rPr>
        <w:t xml:space="preserve">. </w:t>
      </w:r>
    </w:p>
    <w:p w14:paraId="45D8A00E" w14:textId="0A90B952" w:rsidR="008238C4" w:rsidRPr="00330697" w:rsidRDefault="008238C4" w:rsidP="008238C4">
      <w:pPr>
        <w:pStyle w:val="ListParagraph"/>
        <w:numPr>
          <w:ilvl w:val="1"/>
          <w:numId w:val="34"/>
        </w:numPr>
        <w:spacing w:before="40"/>
        <w:ind w:left="1987" w:hanging="547"/>
        <w:contextualSpacing w:val="0"/>
        <w:rPr>
          <w:sz w:val="22"/>
          <w:szCs w:val="22"/>
        </w:rPr>
      </w:pPr>
      <w:r w:rsidRPr="00074ACF">
        <w:rPr>
          <w:sz w:val="22"/>
          <w:szCs w:val="22"/>
        </w:rPr>
        <w:t>Datasets should be a copy of the final, complete, cleaned, audited and locked data used for analysis.</w:t>
      </w:r>
      <w:r w:rsidR="00345CE8" w:rsidRPr="00074ACF">
        <w:rPr>
          <w:sz w:val="22"/>
          <w:szCs w:val="22"/>
        </w:rPr>
        <w:t xml:space="preserve">  </w:t>
      </w:r>
      <w:r w:rsidR="001A65E4" w:rsidRPr="00074ACF">
        <w:rPr>
          <w:sz w:val="22"/>
          <w:szCs w:val="22"/>
        </w:rPr>
        <w:t>These da</w:t>
      </w:r>
      <w:r w:rsidR="00345CE8" w:rsidRPr="00074ACF">
        <w:rPr>
          <w:sz w:val="22"/>
          <w:szCs w:val="22"/>
        </w:rPr>
        <w:t xml:space="preserve">tasets </w:t>
      </w:r>
      <w:r w:rsidR="001A65E4" w:rsidRPr="00074ACF">
        <w:rPr>
          <w:sz w:val="22"/>
          <w:szCs w:val="22"/>
        </w:rPr>
        <w:t>should</w:t>
      </w:r>
      <w:r w:rsidR="00345CE8" w:rsidRPr="00074ACF">
        <w:rPr>
          <w:sz w:val="22"/>
          <w:szCs w:val="22"/>
        </w:rPr>
        <w:t xml:space="preserve"> include raw data, derived data and/or data</w:t>
      </w:r>
      <w:r w:rsidR="00345CE8">
        <w:rPr>
          <w:sz w:val="22"/>
          <w:szCs w:val="22"/>
        </w:rPr>
        <w:t xml:space="preserve"> that has been processed by the study site.</w:t>
      </w:r>
    </w:p>
    <w:p w14:paraId="22811925" w14:textId="1931BF09" w:rsidR="008238C4" w:rsidRPr="001058D0" w:rsidRDefault="008238C4" w:rsidP="008238C4">
      <w:pPr>
        <w:pStyle w:val="ListParagraph"/>
        <w:numPr>
          <w:ilvl w:val="1"/>
          <w:numId w:val="34"/>
        </w:numPr>
        <w:spacing w:before="40"/>
        <w:ind w:left="1980" w:hanging="540"/>
        <w:contextualSpacing w:val="0"/>
        <w:rPr>
          <w:sz w:val="22"/>
          <w:szCs w:val="22"/>
        </w:rPr>
      </w:pPr>
      <w:r w:rsidRPr="00100CD2">
        <w:rPr>
          <w:sz w:val="22"/>
          <w:szCs w:val="22"/>
        </w:rPr>
        <w:t>Each dataset should</w:t>
      </w:r>
      <w:r w:rsidRPr="00E91B0C">
        <w:rPr>
          <w:sz w:val="22"/>
          <w:szCs w:val="22"/>
        </w:rPr>
        <w:t xml:space="preserve"> include any descriptive and/or administrative information considered pertinent to the subsequent use of these data.</w:t>
      </w:r>
    </w:p>
    <w:p w14:paraId="50C37894" w14:textId="77777777" w:rsidR="00100CD2" w:rsidRPr="00817BCA" w:rsidRDefault="00100CD2" w:rsidP="00100CD2">
      <w:pPr>
        <w:pStyle w:val="ListParagraph"/>
        <w:numPr>
          <w:ilvl w:val="1"/>
          <w:numId w:val="34"/>
        </w:numPr>
        <w:spacing w:before="40"/>
        <w:ind w:left="1980" w:hanging="540"/>
        <w:contextualSpacing w:val="0"/>
        <w:rPr>
          <w:sz w:val="22"/>
          <w:szCs w:val="22"/>
        </w:rPr>
      </w:pPr>
      <w:r w:rsidRPr="00817BCA">
        <w:rPr>
          <w:sz w:val="22"/>
          <w:szCs w:val="22"/>
        </w:rPr>
        <w:lastRenderedPageBreak/>
        <w:t>The output file from the integrity check for each dataset should be submitted to confirm the intended transfer of the datasets.</w:t>
      </w:r>
    </w:p>
    <w:p w14:paraId="4DAE7509" w14:textId="0712C9DF" w:rsidR="008238C4" w:rsidRPr="00330697" w:rsidRDefault="008238C4" w:rsidP="008238C4">
      <w:pPr>
        <w:pStyle w:val="ListParagraph"/>
        <w:numPr>
          <w:ilvl w:val="0"/>
          <w:numId w:val="29"/>
        </w:numPr>
        <w:spacing w:before="60"/>
        <w:ind w:left="1080"/>
        <w:contextualSpacing w:val="0"/>
        <w:rPr>
          <w:sz w:val="22"/>
          <w:szCs w:val="22"/>
        </w:rPr>
      </w:pPr>
      <w:r w:rsidRPr="00330697">
        <w:rPr>
          <w:sz w:val="22"/>
          <w:szCs w:val="22"/>
        </w:rPr>
        <w:t xml:space="preserve">Data are to be submitted as </w:t>
      </w:r>
      <w:r w:rsidR="00E91B0C">
        <w:rPr>
          <w:sz w:val="22"/>
          <w:szCs w:val="22"/>
        </w:rPr>
        <w:t xml:space="preserve">either </w:t>
      </w:r>
      <w:r w:rsidRPr="00330697">
        <w:rPr>
          <w:sz w:val="22"/>
          <w:szCs w:val="22"/>
        </w:rPr>
        <w:t>SAS datasets</w:t>
      </w:r>
      <w:r w:rsidR="00E91B0C">
        <w:rPr>
          <w:sz w:val="22"/>
          <w:szCs w:val="22"/>
        </w:rPr>
        <w:t xml:space="preserve"> </w:t>
      </w:r>
      <w:r w:rsidR="003D7D05">
        <w:rPr>
          <w:sz w:val="22"/>
          <w:szCs w:val="22"/>
        </w:rPr>
        <w:t xml:space="preserve">(preferred) </w:t>
      </w:r>
      <w:r w:rsidR="00E91B0C">
        <w:rPr>
          <w:sz w:val="22"/>
          <w:szCs w:val="22"/>
        </w:rPr>
        <w:t>or CSV files</w:t>
      </w:r>
      <w:r w:rsidRPr="00330697">
        <w:rPr>
          <w:sz w:val="22"/>
          <w:szCs w:val="22"/>
        </w:rPr>
        <w:t>.</w:t>
      </w:r>
    </w:p>
    <w:p w14:paraId="1BFE37A7" w14:textId="4C79B3CE" w:rsidR="008238C4" w:rsidRPr="001058D0" w:rsidRDefault="0097360B" w:rsidP="00176CCD">
      <w:pPr>
        <w:spacing w:before="40"/>
        <w:ind w:left="1080" w:hanging="360"/>
        <w:rPr>
          <w:szCs w:val="22"/>
        </w:rPr>
      </w:pPr>
      <w:r>
        <w:rPr>
          <w:szCs w:val="22"/>
        </w:rPr>
        <w:t>3</w:t>
      </w:r>
      <w:r w:rsidR="001058D0">
        <w:rPr>
          <w:szCs w:val="22"/>
        </w:rPr>
        <w:t>.</w:t>
      </w:r>
      <w:r w:rsidR="001058D0">
        <w:rPr>
          <w:szCs w:val="22"/>
        </w:rPr>
        <w:tab/>
      </w:r>
      <w:r w:rsidR="008238C4" w:rsidRPr="001058D0">
        <w:rPr>
          <w:szCs w:val="22"/>
        </w:rPr>
        <w:t>Datasets prepared from study-specific questionnaires, informed consent specimen use questions, participant</w:t>
      </w:r>
      <w:r w:rsidR="005869F2">
        <w:rPr>
          <w:szCs w:val="22"/>
        </w:rPr>
        <w:t>-specific</w:t>
      </w:r>
      <w:r w:rsidR="008238C4" w:rsidRPr="001058D0">
        <w:rPr>
          <w:szCs w:val="22"/>
        </w:rPr>
        <w:t xml:space="preserve"> unblinding information and other data should be submitted as follows:</w:t>
      </w:r>
    </w:p>
    <w:p w14:paraId="02A9BE4A" w14:textId="40307216" w:rsidR="008238C4" w:rsidRPr="00330697" w:rsidRDefault="005869F2" w:rsidP="009702FA">
      <w:pPr>
        <w:pStyle w:val="ListParagraph"/>
        <w:spacing w:before="60"/>
        <w:ind w:left="1987" w:hanging="547"/>
        <w:contextualSpacing w:val="0"/>
        <w:rPr>
          <w:sz w:val="22"/>
          <w:szCs w:val="22"/>
        </w:rPr>
      </w:pPr>
      <w:r>
        <w:rPr>
          <w:sz w:val="22"/>
          <w:szCs w:val="22"/>
        </w:rPr>
        <w:t>4.1</w:t>
      </w:r>
      <w:r>
        <w:rPr>
          <w:sz w:val="22"/>
          <w:szCs w:val="22"/>
        </w:rPr>
        <w:tab/>
      </w:r>
      <w:r w:rsidR="008238C4" w:rsidRPr="00330697">
        <w:rPr>
          <w:sz w:val="22"/>
          <w:szCs w:val="22"/>
        </w:rPr>
        <w:t xml:space="preserve">Submit these data as </w:t>
      </w:r>
      <w:r>
        <w:rPr>
          <w:sz w:val="22"/>
          <w:szCs w:val="22"/>
        </w:rPr>
        <w:t>one</w:t>
      </w:r>
      <w:r w:rsidRPr="00330697">
        <w:rPr>
          <w:sz w:val="22"/>
          <w:szCs w:val="22"/>
        </w:rPr>
        <w:t xml:space="preserve"> </w:t>
      </w:r>
      <w:r w:rsidR="008238C4" w:rsidRPr="00330697">
        <w:rPr>
          <w:sz w:val="22"/>
          <w:szCs w:val="22"/>
        </w:rPr>
        <w:t>of the final clinical dataset</w:t>
      </w:r>
      <w:r w:rsidR="00F23EEB">
        <w:rPr>
          <w:sz w:val="22"/>
          <w:szCs w:val="22"/>
        </w:rPr>
        <w:t>s</w:t>
      </w:r>
      <w:r w:rsidR="008238C4" w:rsidRPr="00330697">
        <w:rPr>
          <w:sz w:val="22"/>
          <w:szCs w:val="22"/>
        </w:rPr>
        <w:t xml:space="preserve"> if these data are included in the database of record.  </w:t>
      </w:r>
    </w:p>
    <w:p w14:paraId="44F5CE56" w14:textId="64194E30" w:rsidR="008238C4" w:rsidRPr="00330697" w:rsidRDefault="005869F2" w:rsidP="00FE513F">
      <w:pPr>
        <w:pStyle w:val="ListParagraph"/>
        <w:spacing w:before="40"/>
        <w:ind w:left="1980" w:hanging="540"/>
        <w:contextualSpacing w:val="0"/>
        <w:rPr>
          <w:sz w:val="22"/>
          <w:szCs w:val="22"/>
        </w:rPr>
      </w:pPr>
      <w:r>
        <w:rPr>
          <w:sz w:val="22"/>
          <w:szCs w:val="22"/>
        </w:rPr>
        <w:t>4.2</w:t>
      </w:r>
      <w:r>
        <w:rPr>
          <w:sz w:val="22"/>
          <w:szCs w:val="22"/>
        </w:rPr>
        <w:tab/>
      </w:r>
      <w:r w:rsidR="008238C4" w:rsidRPr="00330697">
        <w:rPr>
          <w:sz w:val="22"/>
          <w:szCs w:val="22"/>
        </w:rPr>
        <w:t>Submit these data as individual datasets or spreadsheets if these data are collected outside of the database of record.</w:t>
      </w:r>
    </w:p>
    <w:p w14:paraId="24F98E97" w14:textId="73F3C285" w:rsidR="008238C4" w:rsidRDefault="008238C4" w:rsidP="00244335">
      <w:pPr>
        <w:pStyle w:val="ListParagraph"/>
        <w:numPr>
          <w:ilvl w:val="0"/>
          <w:numId w:val="36"/>
        </w:numPr>
        <w:spacing w:before="60"/>
        <w:contextualSpacing w:val="0"/>
        <w:rPr>
          <w:sz w:val="22"/>
          <w:szCs w:val="22"/>
        </w:rPr>
      </w:pPr>
      <w:r w:rsidRPr="00330697">
        <w:rPr>
          <w:sz w:val="22"/>
          <w:szCs w:val="22"/>
        </w:rPr>
        <w:t>Documentation of the analysis and/or analytic code or programs should be submitted with the dataset(s).</w:t>
      </w:r>
    </w:p>
    <w:p w14:paraId="2BF6BF27" w14:textId="2634DDF8" w:rsidR="00FE513F" w:rsidRPr="00FE513F" w:rsidRDefault="00FE513F" w:rsidP="009702FA">
      <w:pPr>
        <w:pStyle w:val="ListParagraph"/>
        <w:numPr>
          <w:ilvl w:val="0"/>
          <w:numId w:val="36"/>
        </w:numPr>
        <w:spacing w:before="60"/>
        <w:contextualSpacing w:val="0"/>
        <w:rPr>
          <w:sz w:val="22"/>
          <w:szCs w:val="22"/>
        </w:rPr>
      </w:pPr>
      <w:r w:rsidRPr="00FE513F">
        <w:rPr>
          <w:sz w:val="22"/>
          <w:szCs w:val="22"/>
        </w:rPr>
        <w:t>The latest approved versions of the protocol, the CRFs or SVAR, the Schedule of Forms, the CDE Spreadsheet (as appropriate), and other forms and questionnaires should be submitted with the datasets.  The version number and/or version date should be noted within each document</w:t>
      </w:r>
      <w:r w:rsidR="001D0AF3">
        <w:rPr>
          <w:sz w:val="22"/>
          <w:szCs w:val="22"/>
        </w:rPr>
        <w:t>.</w:t>
      </w:r>
    </w:p>
    <w:p w14:paraId="340FF829" w14:textId="5C725DF5" w:rsidR="00FE513F" w:rsidRDefault="00FE513F" w:rsidP="009702FA">
      <w:pPr>
        <w:pStyle w:val="ListParagraph"/>
        <w:numPr>
          <w:ilvl w:val="1"/>
          <w:numId w:val="36"/>
        </w:numPr>
        <w:tabs>
          <w:tab w:val="left" w:pos="1980"/>
        </w:tabs>
        <w:spacing w:before="60"/>
        <w:ind w:left="1987" w:hanging="547"/>
        <w:contextualSpacing w:val="0"/>
        <w:rPr>
          <w:sz w:val="22"/>
          <w:szCs w:val="22"/>
        </w:rPr>
      </w:pPr>
      <w:r w:rsidRPr="00FE513F">
        <w:rPr>
          <w:sz w:val="22"/>
          <w:szCs w:val="22"/>
        </w:rPr>
        <w:t>CRFs, other forms and questionnaires should be submitted in Word or PDF format only.</w:t>
      </w:r>
      <w:r w:rsidR="0097360B">
        <w:rPr>
          <w:sz w:val="22"/>
          <w:szCs w:val="22"/>
        </w:rPr>
        <w:t xml:space="preserve"> </w:t>
      </w:r>
      <w:r w:rsidRPr="00FE513F">
        <w:rPr>
          <w:sz w:val="22"/>
          <w:szCs w:val="22"/>
        </w:rPr>
        <w:t xml:space="preserve"> </w:t>
      </w:r>
      <w:r w:rsidR="000E6B71">
        <w:rPr>
          <w:sz w:val="22"/>
          <w:szCs w:val="22"/>
        </w:rPr>
        <w:t>A list or version index of the CRFs or SVAR tabs should be provided.</w:t>
      </w:r>
    </w:p>
    <w:p w14:paraId="5409D9E6" w14:textId="4CF3A038" w:rsidR="000E6B71" w:rsidRPr="00FE513F" w:rsidRDefault="000E6B71" w:rsidP="000E6B71">
      <w:pPr>
        <w:pStyle w:val="ListParagraph"/>
        <w:numPr>
          <w:ilvl w:val="1"/>
          <w:numId w:val="36"/>
        </w:numPr>
        <w:tabs>
          <w:tab w:val="left" w:pos="1980"/>
        </w:tabs>
        <w:spacing w:before="60"/>
        <w:rPr>
          <w:sz w:val="22"/>
          <w:szCs w:val="22"/>
        </w:rPr>
      </w:pPr>
      <w:r>
        <w:rPr>
          <w:sz w:val="22"/>
          <w:szCs w:val="22"/>
        </w:rPr>
        <w:t>An explanation and/or screenshots demonstrating how the data were collected should be submitted.</w:t>
      </w:r>
    </w:p>
    <w:p w14:paraId="63B01130" w14:textId="44E8F4AD" w:rsidR="00FE513F" w:rsidRDefault="009702FA" w:rsidP="00FE513F">
      <w:pPr>
        <w:pStyle w:val="ListParagraph"/>
        <w:tabs>
          <w:tab w:val="left" w:pos="1980"/>
        </w:tabs>
        <w:spacing w:before="60"/>
        <w:ind w:left="1980" w:hanging="540"/>
        <w:rPr>
          <w:sz w:val="22"/>
          <w:szCs w:val="22"/>
        </w:rPr>
      </w:pPr>
      <w:r>
        <w:rPr>
          <w:sz w:val="22"/>
          <w:szCs w:val="22"/>
        </w:rPr>
        <w:t>5</w:t>
      </w:r>
      <w:r w:rsidR="00FE513F">
        <w:rPr>
          <w:sz w:val="22"/>
          <w:szCs w:val="22"/>
        </w:rPr>
        <w:t>.</w:t>
      </w:r>
      <w:r w:rsidR="000E6B71">
        <w:rPr>
          <w:sz w:val="22"/>
          <w:szCs w:val="22"/>
        </w:rPr>
        <w:t>3</w:t>
      </w:r>
      <w:r w:rsidR="00FE513F">
        <w:rPr>
          <w:sz w:val="22"/>
          <w:szCs w:val="22"/>
        </w:rPr>
        <w:tab/>
      </w:r>
      <w:r w:rsidR="00FE513F" w:rsidRPr="00FE513F">
        <w:rPr>
          <w:sz w:val="22"/>
          <w:szCs w:val="22"/>
        </w:rPr>
        <w:t>Data obtained from other than a CRF or SVAR should be identified in the dataset.  The source of these data should be specified.</w:t>
      </w:r>
    </w:p>
    <w:p w14:paraId="3BE762CB" w14:textId="2946C66C" w:rsidR="00A76C95" w:rsidRDefault="0097360B" w:rsidP="009702FA">
      <w:pPr>
        <w:pStyle w:val="ListParagraph"/>
        <w:tabs>
          <w:tab w:val="left" w:pos="1980"/>
        </w:tabs>
        <w:spacing w:before="60"/>
        <w:ind w:left="1080" w:hanging="360"/>
        <w:contextualSpacing w:val="0"/>
        <w:rPr>
          <w:sz w:val="22"/>
          <w:szCs w:val="22"/>
        </w:rPr>
      </w:pPr>
      <w:r>
        <w:rPr>
          <w:sz w:val="22"/>
          <w:szCs w:val="22"/>
        </w:rPr>
        <w:t>6</w:t>
      </w:r>
      <w:r w:rsidR="00A76C95">
        <w:rPr>
          <w:sz w:val="22"/>
          <w:szCs w:val="22"/>
        </w:rPr>
        <w:t>.</w:t>
      </w:r>
      <w:r w:rsidR="00A76C95">
        <w:rPr>
          <w:sz w:val="22"/>
          <w:szCs w:val="22"/>
        </w:rPr>
        <w:tab/>
        <w:t>Study-specific Notes-To-File that are pertinent to the data collection, review and</w:t>
      </w:r>
      <w:r w:rsidR="009702FA">
        <w:rPr>
          <w:sz w:val="22"/>
          <w:szCs w:val="22"/>
        </w:rPr>
        <w:t>/or</w:t>
      </w:r>
      <w:r w:rsidR="00A76C95">
        <w:rPr>
          <w:sz w:val="22"/>
          <w:szCs w:val="22"/>
        </w:rPr>
        <w:t xml:space="preserve"> analysis of the data should be submitted as supporting documentation. </w:t>
      </w:r>
    </w:p>
    <w:p w14:paraId="02A1D0B6" w14:textId="77777777" w:rsidR="00FE513F" w:rsidRPr="00FE513F" w:rsidRDefault="00FE513F" w:rsidP="00817BCA">
      <w:pPr>
        <w:spacing w:before="60"/>
        <w:ind w:left="360"/>
        <w:rPr>
          <w:szCs w:val="22"/>
        </w:rPr>
      </w:pPr>
    </w:p>
    <w:p w14:paraId="6FFC3037" w14:textId="77777777" w:rsidR="008238C4" w:rsidRPr="00330697" w:rsidRDefault="008238C4" w:rsidP="008238C4">
      <w:pPr>
        <w:pStyle w:val="ListParagraph"/>
        <w:numPr>
          <w:ilvl w:val="1"/>
          <w:numId w:val="28"/>
        </w:numPr>
        <w:spacing w:before="120"/>
        <w:ind w:left="360"/>
        <w:contextualSpacing w:val="0"/>
        <w:rPr>
          <w:sz w:val="22"/>
          <w:szCs w:val="22"/>
        </w:rPr>
      </w:pPr>
      <w:r w:rsidRPr="00330697">
        <w:rPr>
          <w:sz w:val="22"/>
          <w:szCs w:val="22"/>
        </w:rPr>
        <w:t>Data dictionaries</w:t>
      </w:r>
    </w:p>
    <w:p w14:paraId="38D2B347" w14:textId="1A55737C" w:rsidR="008238C4" w:rsidRPr="00330697" w:rsidRDefault="008238C4" w:rsidP="008238C4">
      <w:pPr>
        <w:pStyle w:val="ListParagraph"/>
        <w:numPr>
          <w:ilvl w:val="0"/>
          <w:numId w:val="30"/>
        </w:numPr>
        <w:spacing w:before="40"/>
        <w:ind w:left="1080"/>
        <w:contextualSpacing w:val="0"/>
        <w:rPr>
          <w:sz w:val="22"/>
          <w:szCs w:val="22"/>
        </w:rPr>
      </w:pPr>
      <w:r w:rsidRPr="00330697">
        <w:rPr>
          <w:sz w:val="22"/>
          <w:szCs w:val="22"/>
        </w:rPr>
        <w:t>A data dictionary should be submitted for each SAS dataset</w:t>
      </w:r>
      <w:r w:rsidR="002E38B5">
        <w:rPr>
          <w:sz w:val="22"/>
          <w:szCs w:val="22"/>
        </w:rPr>
        <w:t>.</w:t>
      </w:r>
    </w:p>
    <w:p w14:paraId="1DA81233" w14:textId="24897E68" w:rsidR="008238C4" w:rsidRPr="00330697" w:rsidRDefault="0097360B" w:rsidP="009702FA">
      <w:pPr>
        <w:pStyle w:val="ListParagraph"/>
        <w:tabs>
          <w:tab w:val="left" w:pos="1080"/>
          <w:tab w:val="left" w:pos="1170"/>
        </w:tabs>
        <w:spacing w:before="40"/>
        <w:ind w:left="1890" w:hanging="446"/>
        <w:contextualSpacing w:val="0"/>
        <w:rPr>
          <w:sz w:val="22"/>
          <w:szCs w:val="22"/>
        </w:rPr>
      </w:pPr>
      <w:r>
        <w:rPr>
          <w:sz w:val="22"/>
          <w:szCs w:val="22"/>
        </w:rPr>
        <w:t>1.1</w:t>
      </w:r>
      <w:r>
        <w:rPr>
          <w:sz w:val="22"/>
          <w:szCs w:val="22"/>
        </w:rPr>
        <w:tab/>
      </w:r>
      <w:r w:rsidR="008238C4" w:rsidRPr="00330697">
        <w:rPr>
          <w:sz w:val="22"/>
          <w:szCs w:val="22"/>
        </w:rPr>
        <w:t>Contents of the dictionary should include (at a minimum) the variable name, Label/Question, Label Description, Text Format and CDE ID#.</w:t>
      </w:r>
      <w:r w:rsidR="00EE1DD3">
        <w:rPr>
          <w:sz w:val="22"/>
          <w:szCs w:val="22"/>
        </w:rPr>
        <w:t xml:space="preserve">  See SOP13b, Attachment A for an </w:t>
      </w:r>
      <w:r w:rsidR="002E108C">
        <w:rPr>
          <w:sz w:val="22"/>
          <w:szCs w:val="22"/>
        </w:rPr>
        <w:t>example of a data dictionary.</w:t>
      </w:r>
    </w:p>
    <w:p w14:paraId="53CEF15D" w14:textId="77777777" w:rsidR="008D5D90" w:rsidRDefault="008D5D90" w:rsidP="006911B4">
      <w:pPr>
        <w:pStyle w:val="P1-StandPara"/>
        <w:ind w:firstLine="360"/>
        <w:jc w:val="center"/>
        <w:rPr>
          <w:b/>
        </w:rPr>
      </w:pPr>
      <w:r w:rsidRPr="00831288">
        <w:rPr>
          <w:b/>
          <w:szCs w:val="22"/>
        </w:rPr>
        <w:br w:type="page"/>
      </w:r>
      <w:bookmarkStart w:id="1" w:name="AppendixB"/>
      <w:r>
        <w:rPr>
          <w:b/>
        </w:rPr>
        <w:lastRenderedPageBreak/>
        <w:t>Appendix B</w:t>
      </w:r>
      <w:bookmarkEnd w:id="1"/>
    </w:p>
    <w:p w14:paraId="450E5786" w14:textId="77777777" w:rsidR="00161CA5" w:rsidRDefault="00161CA5" w:rsidP="006911B4">
      <w:pPr>
        <w:pStyle w:val="P1-StandPara"/>
        <w:ind w:firstLine="360"/>
        <w:jc w:val="center"/>
        <w:rPr>
          <w:b/>
        </w:rPr>
      </w:pPr>
      <w:r>
        <w:rPr>
          <w:b/>
        </w:rPr>
        <w:t>Consortia 2012</w:t>
      </w:r>
    </w:p>
    <w:p w14:paraId="5240883E" w14:textId="77777777" w:rsidR="00391BF3" w:rsidRDefault="00391BF3" w:rsidP="006911B4">
      <w:pPr>
        <w:pStyle w:val="P1-StandPara"/>
        <w:ind w:firstLine="360"/>
        <w:jc w:val="center"/>
        <w:rPr>
          <w:b/>
        </w:rPr>
      </w:pPr>
      <w:r>
        <w:rPr>
          <w:b/>
        </w:rPr>
        <w:t>Biospecimen Submission Requirements</w:t>
      </w:r>
    </w:p>
    <w:p w14:paraId="10B7A731" w14:textId="77777777" w:rsidR="00161CA5" w:rsidRDefault="00161CA5" w:rsidP="006911B4">
      <w:pPr>
        <w:pStyle w:val="P1-StandPara"/>
        <w:ind w:firstLine="360"/>
        <w:jc w:val="center"/>
        <w:rPr>
          <w:b/>
        </w:rPr>
      </w:pPr>
    </w:p>
    <w:p w14:paraId="7095AF28" w14:textId="77777777" w:rsidR="008238C4" w:rsidRDefault="008238C4" w:rsidP="006911B4">
      <w:pPr>
        <w:pStyle w:val="P1-StandPara"/>
        <w:ind w:firstLine="360"/>
        <w:jc w:val="center"/>
        <w:rPr>
          <w:b/>
        </w:rPr>
      </w:pPr>
    </w:p>
    <w:p w14:paraId="180458EE" w14:textId="77777777" w:rsidR="00950C17" w:rsidRDefault="00950C17" w:rsidP="00950C17">
      <w:pPr>
        <w:spacing w:line="360" w:lineRule="atLeast"/>
        <w:ind w:left="90"/>
        <w:rPr>
          <w:b/>
          <w:u w:val="single"/>
        </w:rPr>
      </w:pPr>
      <w:r>
        <w:rPr>
          <w:b/>
          <w:u w:val="single"/>
        </w:rPr>
        <w:t>Overview</w:t>
      </w:r>
    </w:p>
    <w:p w14:paraId="79D470FC" w14:textId="77777777" w:rsidR="00950C17" w:rsidRDefault="00950C17" w:rsidP="00950C17">
      <w:pPr>
        <w:spacing w:line="240" w:lineRule="auto"/>
        <w:ind w:firstLine="90"/>
      </w:pPr>
    </w:p>
    <w:p w14:paraId="65FF5B2C" w14:textId="77777777" w:rsidR="00950C17" w:rsidRDefault="00950C17" w:rsidP="00950C17">
      <w:pPr>
        <w:spacing w:line="240" w:lineRule="auto"/>
        <w:ind w:left="90"/>
      </w:pPr>
      <w:r>
        <w:t>Requirements for study-specific biospecimen management, including their collection, shipping, storage and banking, are defined in Section 10 of each study protocol.</w:t>
      </w:r>
    </w:p>
    <w:p w14:paraId="105988EB" w14:textId="77777777" w:rsidR="00950C17" w:rsidRDefault="00950C17" w:rsidP="00950C17">
      <w:pPr>
        <w:spacing w:line="240" w:lineRule="auto"/>
        <w:ind w:left="90"/>
      </w:pPr>
    </w:p>
    <w:p w14:paraId="55E6625B" w14:textId="77777777" w:rsidR="00950C17" w:rsidRDefault="00950C17" w:rsidP="00950C17">
      <w:pPr>
        <w:spacing w:line="240" w:lineRule="auto"/>
        <w:ind w:left="90"/>
      </w:pPr>
      <w:r>
        <w:t>Centralized storage and distribution of biospecimens required at the end of a study will be managed by the Frederick National Laboratory for Cancer Research (FNLCR).</w:t>
      </w:r>
    </w:p>
    <w:p w14:paraId="025825BD" w14:textId="77777777" w:rsidR="00950C17" w:rsidRDefault="00950C17" w:rsidP="00950C17">
      <w:pPr>
        <w:spacing w:line="240" w:lineRule="auto"/>
        <w:ind w:left="90"/>
      </w:pPr>
    </w:p>
    <w:p w14:paraId="0AAC6DA0" w14:textId="77777777" w:rsidR="00950C17" w:rsidRDefault="00950C17" w:rsidP="00950C17">
      <w:pPr>
        <w:spacing w:line="240" w:lineRule="auto"/>
        <w:ind w:left="90"/>
      </w:pPr>
      <w:r>
        <w:t xml:space="preserve">Biospecimens designated for centralized storage and distribution must be confirmed as consented for future use </w:t>
      </w:r>
      <w:r>
        <w:rPr>
          <w:u w:val="single"/>
        </w:rPr>
        <w:t>prior</w:t>
      </w:r>
      <w:r>
        <w:t xml:space="preserve"> to forwarding these specimens to FNLCR.  Any biospecimens that are lacking this consent should </w:t>
      </w:r>
      <w:r>
        <w:rPr>
          <w:u w:val="single"/>
        </w:rPr>
        <w:t>not</w:t>
      </w:r>
      <w:r>
        <w:t xml:space="preserve"> be shipped to FNLCR and should be managed per institutional requirements.  A final dataset of each participant’s responses to the questions regarding specimen and information use included in the study’s informed consent is to be submitted with the end of study datasets.  This dataset may be shared with the FNLCR to facilitate processing and future use of the biospecimens.</w:t>
      </w:r>
    </w:p>
    <w:p w14:paraId="13F63BD1" w14:textId="77777777" w:rsidR="00950C17" w:rsidRDefault="00950C17" w:rsidP="00950C17">
      <w:pPr>
        <w:spacing w:line="240" w:lineRule="auto"/>
        <w:ind w:left="90"/>
      </w:pPr>
      <w:r>
        <w:t>.</w:t>
      </w:r>
    </w:p>
    <w:p w14:paraId="68617D3B" w14:textId="77777777" w:rsidR="00950C17" w:rsidRDefault="00950C17" w:rsidP="00950C17">
      <w:pPr>
        <w:spacing w:line="240" w:lineRule="auto"/>
        <w:ind w:left="90"/>
      </w:pPr>
      <w:r>
        <w:t xml:space="preserve">Prior to the shipment of biospecimens, a webinar will be held by FNLCR with the responsible institution to discuss the specifics of the study’s specimen collection, review supply and shipment instructions, and develop a timeline for related tasks and activities.  Supplies and related materials will be provided by FNLRC to ensure the proper packaging and transportation of specimens to the FNLCR repository.  </w:t>
      </w:r>
    </w:p>
    <w:p w14:paraId="7F0E39DA" w14:textId="77777777" w:rsidR="00950C17" w:rsidRDefault="00950C17" w:rsidP="00950C17">
      <w:pPr>
        <w:spacing w:line="240" w:lineRule="auto"/>
        <w:ind w:left="90"/>
      </w:pPr>
    </w:p>
    <w:p w14:paraId="5FCE5AA0" w14:textId="77777777" w:rsidR="00950C17" w:rsidRDefault="00950C17" w:rsidP="00950C17">
      <w:pPr>
        <w:spacing w:line="240" w:lineRule="auto"/>
        <w:ind w:left="90"/>
      </w:pPr>
      <w:bookmarkStart w:id="2" w:name="_Hlk94534207"/>
      <w:r>
        <w:t xml:space="preserve">The FNLCR Head of Bioprocessing and Trial Logistics is responsible for general oversight of this process, laboratory administration, shipping supplies, and specimen database inquiries.  When biospecimens are ready to be shipped, please notify DCP at </w:t>
      </w:r>
      <w:hyperlink r:id="rId15" w:history="1">
        <w:r>
          <w:rPr>
            <w:rStyle w:val="Hyperlink"/>
          </w:rPr>
          <w:t>C2012Biospecimens@mail.nih.gov</w:t>
        </w:r>
      </w:hyperlink>
      <w:r>
        <w:t xml:space="preserve"> and also contact: </w:t>
      </w:r>
    </w:p>
    <w:p w14:paraId="0A77A4D7" w14:textId="5B8B84DB" w:rsidR="00950C17" w:rsidRDefault="00950C17" w:rsidP="00950C17">
      <w:pPr>
        <w:ind w:left="450"/>
        <w:rPr>
          <w:rFonts w:eastAsiaTheme="minorHAnsi"/>
          <w:szCs w:val="22"/>
        </w:rPr>
      </w:pPr>
      <w:r>
        <w:t xml:space="preserve">Norma A. Diaz-Mayoral, MS, MBA </w:t>
      </w:r>
    </w:p>
    <w:p w14:paraId="2AFB711F" w14:textId="77777777" w:rsidR="00950C17" w:rsidRDefault="00950C17" w:rsidP="00950C17">
      <w:pPr>
        <w:ind w:left="450"/>
      </w:pPr>
      <w:r>
        <w:t>Head, Bio Processing and Trial Logistics</w:t>
      </w:r>
    </w:p>
    <w:p w14:paraId="0B2F81C4" w14:textId="77777777" w:rsidR="00950C17" w:rsidRDefault="00950C17" w:rsidP="00950C17">
      <w:pPr>
        <w:ind w:left="450"/>
      </w:pPr>
      <w:r>
        <w:t>Frederick National Laboratory for Cancer Research</w:t>
      </w:r>
    </w:p>
    <w:p w14:paraId="3891E4F7" w14:textId="77777777" w:rsidR="00950C17" w:rsidRDefault="00950C17" w:rsidP="00950C17">
      <w:pPr>
        <w:ind w:left="450"/>
      </w:pPr>
      <w:r>
        <w:t>Leidos Biomedical Research, Inc.</w:t>
      </w:r>
    </w:p>
    <w:p w14:paraId="5009AA60" w14:textId="77777777" w:rsidR="00950C17" w:rsidRDefault="00950C17" w:rsidP="00950C17">
      <w:pPr>
        <w:ind w:left="450"/>
      </w:pPr>
      <w:r>
        <w:t>Office: 301-228-4208</w:t>
      </w:r>
    </w:p>
    <w:p w14:paraId="1DDA0C21" w14:textId="77777777" w:rsidR="00950C17" w:rsidRDefault="00950C17" w:rsidP="00950C17">
      <w:pPr>
        <w:ind w:left="450"/>
      </w:pPr>
      <w:r>
        <w:t>Cell: 240-409-6846</w:t>
      </w:r>
    </w:p>
    <w:p w14:paraId="51100D01" w14:textId="2AF0D17D" w:rsidR="00950C17" w:rsidRDefault="00950C17" w:rsidP="00950C17">
      <w:pPr>
        <w:ind w:left="450"/>
      </w:pPr>
      <w:r>
        <w:t>Fax:</w:t>
      </w:r>
      <w:r w:rsidR="00B2600D">
        <w:t xml:space="preserve"> </w:t>
      </w:r>
      <w:r>
        <w:t>301-846-6222</w:t>
      </w:r>
    </w:p>
    <w:bookmarkEnd w:id="2"/>
    <w:p w14:paraId="0D9F4179" w14:textId="7A4366EB" w:rsidR="00950C17" w:rsidRDefault="007D424E" w:rsidP="00950C17">
      <w:pPr>
        <w:spacing w:line="0" w:lineRule="atLeast"/>
      </w:pPr>
      <w:r>
        <w:fldChar w:fldCharType="begin"/>
      </w:r>
      <w:r>
        <w:instrText xml:space="preserve"> HYPERLINK "mailto:NCI-FrederickCSPBPTLStaff@mail.nih.gov" </w:instrText>
      </w:r>
      <w:r>
        <w:fldChar w:fldCharType="separate"/>
      </w:r>
      <w:r>
        <w:rPr>
          <w:rStyle w:val="Hyperlink"/>
        </w:rPr>
        <w:t>NCI-FrederickCSPBPTLStaff@mail.nih.gov</w:t>
      </w:r>
      <w:r>
        <w:fldChar w:fldCharType="end"/>
      </w:r>
    </w:p>
    <w:p w14:paraId="319F7A3A" w14:textId="77777777" w:rsidR="00950C17" w:rsidRDefault="00950C17" w:rsidP="00950C17">
      <w:pPr>
        <w:spacing w:line="360" w:lineRule="atLeast"/>
        <w:rPr>
          <w:b/>
          <w:u w:val="single"/>
        </w:rPr>
      </w:pPr>
      <w:r>
        <w:rPr>
          <w:b/>
          <w:u w:val="single"/>
        </w:rPr>
        <w:t>Biospecimen Data Submission Requirements</w:t>
      </w:r>
    </w:p>
    <w:p w14:paraId="4E20D08C" w14:textId="77777777" w:rsidR="00950C17" w:rsidRDefault="00950C17" w:rsidP="00950C17">
      <w:pPr>
        <w:spacing w:line="240" w:lineRule="auto"/>
      </w:pPr>
    </w:p>
    <w:p w14:paraId="5BED5DA7" w14:textId="54DEA771" w:rsidR="00950C17" w:rsidRDefault="00950C17" w:rsidP="00950C17">
      <w:pPr>
        <w:spacing w:line="240" w:lineRule="auto"/>
      </w:pPr>
      <w:r>
        <w:t xml:space="preserve">A final dataset of each participant’s responses to the questions in the informed consent regarding study-specific specimen and information use is to be submitted with end of study datasets as specified in </w:t>
      </w:r>
      <w:hyperlink w:anchor="AppendixA" w:history="1">
        <w:r w:rsidRPr="00445C0F">
          <w:rPr>
            <w:rStyle w:val="Hyperlink"/>
          </w:rPr>
          <w:t>Appendix A</w:t>
        </w:r>
      </w:hyperlink>
      <w:r>
        <w:t xml:space="preserve">.  </w:t>
      </w:r>
    </w:p>
    <w:p w14:paraId="3C2EC4DB" w14:textId="77777777" w:rsidR="00950C17" w:rsidRDefault="00950C17" w:rsidP="00950C17">
      <w:pPr>
        <w:spacing w:line="240" w:lineRule="auto"/>
      </w:pPr>
    </w:p>
    <w:p w14:paraId="6942E2B1" w14:textId="2BB70AF5" w:rsidR="00950C17" w:rsidRDefault="00950C17" w:rsidP="00950C17">
      <w:r>
        <w:t>An electronic item-level Material Transfer Manifest (</w:t>
      </w:r>
      <w:r w:rsidR="007E6253">
        <w:t>Manifest</w:t>
      </w:r>
      <w:r>
        <w:t xml:space="preserve">) is to be submitted prior to shipment of any biospecimens to FNLCR.  The data fields listed below should be provided for each specimen listed on the Manifest.  Please note these are the </w:t>
      </w:r>
      <w:r>
        <w:rPr>
          <w:u w:val="single"/>
        </w:rPr>
        <w:t>minimum data required</w:t>
      </w:r>
      <w:r>
        <w:t xml:space="preserve"> for each biospecimen submitted.  Additional data may be required and/or requested depending on the specialized needs of the project and/or protocol requirements.  </w:t>
      </w:r>
    </w:p>
    <w:p w14:paraId="45FF9809" w14:textId="77777777" w:rsidR="00950C17" w:rsidRDefault="00950C17" w:rsidP="00950C17"/>
    <w:p w14:paraId="1D331184" w14:textId="6FE6D176" w:rsidR="00950C17" w:rsidRDefault="00950C17" w:rsidP="00950C17">
      <w:pPr>
        <w:spacing w:line="240" w:lineRule="auto"/>
      </w:pPr>
      <w:r>
        <w:t xml:space="preserve">The required data fields are: </w:t>
      </w:r>
    </w:p>
    <w:p w14:paraId="4B33BF35"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lastRenderedPageBreak/>
        <w:t>Verification: All biospecimens listed on this Manifest have been reviewed as consented for future use</w:t>
      </w:r>
    </w:p>
    <w:p w14:paraId="1B3B2E52" w14:textId="71A4F2F3" w:rsidR="00950C17" w:rsidRPr="00074ACF" w:rsidRDefault="00950C17" w:rsidP="00244335">
      <w:pPr>
        <w:pStyle w:val="ListParagraph"/>
        <w:numPr>
          <w:ilvl w:val="0"/>
          <w:numId w:val="49"/>
        </w:numPr>
        <w:ind w:right="-270"/>
        <w:jc w:val="both"/>
        <w:rPr>
          <w:sz w:val="22"/>
          <w:szCs w:val="22"/>
        </w:rPr>
      </w:pPr>
      <w:r w:rsidRPr="00244335">
        <w:rPr>
          <w:sz w:val="22"/>
          <w:szCs w:val="22"/>
        </w:rPr>
        <w:t>Signature</w:t>
      </w:r>
      <w:r w:rsidR="00B2600D">
        <w:rPr>
          <w:sz w:val="22"/>
          <w:szCs w:val="22"/>
        </w:rPr>
        <w:t xml:space="preserve"> </w:t>
      </w:r>
      <w:r w:rsidR="00B2600D" w:rsidRPr="00074ACF">
        <w:rPr>
          <w:sz w:val="22"/>
          <w:szCs w:val="22"/>
        </w:rPr>
        <w:t>and date of shipper or designated representative</w:t>
      </w:r>
    </w:p>
    <w:p w14:paraId="486CC001"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Item Number</w:t>
      </w:r>
    </w:p>
    <w:p w14:paraId="0F0EB365"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Protocol Number</w:t>
      </w:r>
    </w:p>
    <w:p w14:paraId="4204D2AD"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Current Label </w:t>
      </w:r>
    </w:p>
    <w:p w14:paraId="4E131E66"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Center </w:t>
      </w:r>
    </w:p>
    <w:p w14:paraId="4E8209F1"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Hemolyzed </w:t>
      </w:r>
    </w:p>
    <w:p w14:paraId="6DC4490D"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Subject ID </w:t>
      </w:r>
    </w:p>
    <w:p w14:paraId="1E336425"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Date Drawn </w:t>
      </w:r>
    </w:p>
    <w:p w14:paraId="3495B2FD"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Material Type </w:t>
      </w:r>
    </w:p>
    <w:p w14:paraId="6E005BB0"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Material Modifiers </w:t>
      </w:r>
    </w:p>
    <w:p w14:paraId="1ECA6F97"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Date Processed</w:t>
      </w:r>
    </w:p>
    <w:p w14:paraId="5727C90C"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Label Status </w:t>
      </w:r>
    </w:p>
    <w:p w14:paraId="2C58BF5B"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Volume </w:t>
      </w:r>
    </w:p>
    <w:p w14:paraId="63B1D269"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Volume Unit </w:t>
      </w:r>
    </w:p>
    <w:p w14:paraId="37E1E382"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Box </w:t>
      </w:r>
    </w:p>
    <w:p w14:paraId="6FE1B223"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Row </w:t>
      </w:r>
    </w:p>
    <w:p w14:paraId="407BE698" w14:textId="77777777" w:rsidR="00950C17" w:rsidRPr="00244335" w:rsidRDefault="00950C17" w:rsidP="00244335">
      <w:pPr>
        <w:pStyle w:val="ListParagraph"/>
        <w:numPr>
          <w:ilvl w:val="0"/>
          <w:numId w:val="49"/>
        </w:numPr>
        <w:ind w:right="-270"/>
        <w:jc w:val="both"/>
        <w:rPr>
          <w:sz w:val="22"/>
          <w:szCs w:val="22"/>
        </w:rPr>
      </w:pPr>
      <w:r w:rsidRPr="00244335">
        <w:rPr>
          <w:sz w:val="22"/>
          <w:szCs w:val="22"/>
        </w:rPr>
        <w:t xml:space="preserve">Column </w:t>
      </w:r>
    </w:p>
    <w:p w14:paraId="6C4A350D" w14:textId="77777777" w:rsidR="00950C17" w:rsidRPr="00244335" w:rsidRDefault="00950C17" w:rsidP="00950C17">
      <w:pPr>
        <w:spacing w:line="240" w:lineRule="auto"/>
        <w:rPr>
          <w:szCs w:val="22"/>
        </w:rPr>
      </w:pPr>
    </w:p>
    <w:p w14:paraId="75E219C6" w14:textId="72B987BB" w:rsidR="00950C17" w:rsidRDefault="00950C17" w:rsidP="00950C17">
      <w:r>
        <w:t xml:space="preserve">A template for the Manifest, including a description of each required data field, is provided in </w:t>
      </w:r>
      <w:hyperlink r:id="rId16" w:history="1">
        <w:r w:rsidRPr="00FF5D42">
          <w:rPr>
            <w:rStyle w:val="Hyperlink"/>
          </w:rPr>
          <w:t>SOP13c</w:t>
        </w:r>
        <w:r w:rsidR="001E14FF" w:rsidRPr="00FF5D42">
          <w:rPr>
            <w:rStyle w:val="Hyperlink"/>
          </w:rPr>
          <w:t xml:space="preserve">: </w:t>
        </w:r>
        <w:r w:rsidRPr="00FF5D42">
          <w:rPr>
            <w:rStyle w:val="Hyperlink"/>
          </w:rPr>
          <w:t xml:space="preserve"> Material Transfer Manifest for Biospecimen Submission</w:t>
        </w:r>
      </w:hyperlink>
      <w:r>
        <w:t xml:space="preserve">.  The Manifest should be submitted to FNLCR at </w:t>
      </w:r>
      <w:hyperlink r:id="rId17" w:history="1">
        <w:r>
          <w:rPr>
            <w:rStyle w:val="Hyperlink"/>
          </w:rPr>
          <w:t>diazmayoraln@mail.nih.gov</w:t>
        </w:r>
      </w:hyperlink>
      <w:r>
        <w:rPr>
          <w:rStyle w:val="Hyperlink"/>
        </w:rPr>
        <w:t xml:space="preserve"> </w:t>
      </w:r>
      <w:r>
        <w:t xml:space="preserve">and DCP at </w:t>
      </w:r>
      <w:hyperlink r:id="rId18" w:history="1">
        <w:r w:rsidR="0031354F">
          <w:rPr>
            <w:rStyle w:val="Hyperlink"/>
          </w:rPr>
          <w:t>C2012Biospecimens@mail.nih.gov</w:t>
        </w:r>
      </w:hyperlink>
      <w:r w:rsidR="0031354F">
        <w:t xml:space="preserve"> </w:t>
      </w:r>
      <w:r>
        <w:t xml:space="preserve">at least 48 hours to prior to shipment of the listed biospecimens.  </w:t>
      </w:r>
    </w:p>
    <w:p w14:paraId="7E03AA0D" w14:textId="77777777" w:rsidR="00950C17" w:rsidRDefault="00950C17" w:rsidP="00950C17">
      <w:pPr>
        <w:rPr>
          <w:rFonts w:asciiTheme="minorHAnsi" w:eastAsiaTheme="minorHAnsi" w:hAnsiTheme="minorHAnsi" w:cstheme="minorBidi"/>
          <w:szCs w:val="22"/>
        </w:rPr>
      </w:pPr>
    </w:p>
    <w:p w14:paraId="6D9FAEEE" w14:textId="77777777" w:rsidR="00950C17" w:rsidRDefault="00950C17" w:rsidP="00950C17">
      <w:pPr>
        <w:spacing w:line="240" w:lineRule="auto"/>
        <w:rPr>
          <w:b/>
          <w:u w:val="single"/>
        </w:rPr>
      </w:pPr>
      <w:r>
        <w:rPr>
          <w:b/>
          <w:u w:val="single"/>
        </w:rPr>
        <w:t>Packaging and Shipping</w:t>
      </w:r>
    </w:p>
    <w:p w14:paraId="2206C431" w14:textId="77777777" w:rsidR="00950C17" w:rsidRDefault="00950C17" w:rsidP="00950C17">
      <w:pPr>
        <w:spacing w:line="240" w:lineRule="auto"/>
      </w:pPr>
    </w:p>
    <w:p w14:paraId="78A15CA5" w14:textId="77777777" w:rsidR="00950C17" w:rsidRDefault="00950C17" w:rsidP="00950C17">
      <w:pPr>
        <w:spacing w:line="240" w:lineRule="auto"/>
      </w:pPr>
      <w:r>
        <w:t>Supplies are provided by FNLCR for frozen, chilled and room temperature shipments, as required.  The supplies will include packaging, instructions, points of contact, shipping address, and prepaid courier documents.</w:t>
      </w:r>
    </w:p>
    <w:p w14:paraId="616C25C4" w14:textId="77777777" w:rsidR="00950C17" w:rsidRDefault="00950C17" w:rsidP="00950C17">
      <w:pPr>
        <w:spacing w:line="240" w:lineRule="auto"/>
      </w:pPr>
    </w:p>
    <w:p w14:paraId="0CF1CBEA" w14:textId="77777777" w:rsidR="00950C17" w:rsidRDefault="00950C17" w:rsidP="00950C17">
      <w:pPr>
        <w:spacing w:line="240" w:lineRule="auto"/>
      </w:pPr>
      <w:r>
        <w:t xml:space="preserve">Biospecimens should be shipped with a copy of the Manifest and a packing slip in each package.  The shipping address for these materials is noted on the Manifest.  Details regarding completion of the Manifest and packing slip will be reviewed during the pre-shipment webinar with the responsible institution.  </w:t>
      </w:r>
    </w:p>
    <w:p w14:paraId="33287F37" w14:textId="77777777" w:rsidR="00950C17" w:rsidRDefault="00950C17" w:rsidP="00950C17">
      <w:pPr>
        <w:rPr>
          <w:rFonts w:asciiTheme="minorHAnsi" w:eastAsiaTheme="minorHAnsi" w:hAnsiTheme="minorHAnsi" w:cstheme="minorBidi"/>
          <w:szCs w:val="22"/>
        </w:rPr>
      </w:pPr>
    </w:p>
    <w:p w14:paraId="38CACA15" w14:textId="7A4E93C2" w:rsidR="00391BF3" w:rsidRPr="00B806FE" w:rsidRDefault="00391BF3" w:rsidP="006911B4">
      <w:pPr>
        <w:pStyle w:val="P1-StandPara"/>
        <w:ind w:firstLine="360"/>
        <w:jc w:val="center"/>
        <w:rPr>
          <w:b/>
          <w:i/>
        </w:rPr>
      </w:pPr>
    </w:p>
    <w:p w14:paraId="56B75F98" w14:textId="77777777" w:rsidR="00CC4204" w:rsidRDefault="00CC4204" w:rsidP="006911B4">
      <w:pPr>
        <w:pStyle w:val="P1-StandPara"/>
        <w:ind w:firstLine="360"/>
        <w:jc w:val="center"/>
        <w:rPr>
          <w:b/>
        </w:rPr>
      </w:pPr>
    </w:p>
    <w:p w14:paraId="53DB2D7F" w14:textId="77777777" w:rsidR="00CC4204" w:rsidRDefault="00CC4204" w:rsidP="00831288">
      <w:pPr>
        <w:pStyle w:val="P1-StandPara"/>
        <w:ind w:firstLine="0"/>
        <w:jc w:val="center"/>
        <w:rPr>
          <w:b/>
        </w:rPr>
      </w:pPr>
      <w:r>
        <w:rPr>
          <w:b/>
        </w:rPr>
        <w:br w:type="page"/>
      </w:r>
      <w:bookmarkStart w:id="3" w:name="AppendixC"/>
      <w:r>
        <w:rPr>
          <w:b/>
        </w:rPr>
        <w:lastRenderedPageBreak/>
        <w:t>Appendix C</w:t>
      </w:r>
      <w:bookmarkEnd w:id="3"/>
    </w:p>
    <w:p w14:paraId="1A6D54D4" w14:textId="77777777" w:rsidR="00226456" w:rsidRPr="0042059C" w:rsidRDefault="00226456" w:rsidP="008238C4">
      <w:pPr>
        <w:widowControl w:val="0"/>
        <w:autoSpaceDE w:val="0"/>
        <w:autoSpaceDN w:val="0"/>
        <w:adjustRightInd w:val="0"/>
        <w:spacing w:line="360" w:lineRule="atLeast"/>
        <w:jc w:val="center"/>
        <w:rPr>
          <w:b/>
        </w:rPr>
      </w:pPr>
      <w:r w:rsidRPr="0042059C">
        <w:rPr>
          <w:b/>
        </w:rPr>
        <w:t>Consortia 2012</w:t>
      </w:r>
    </w:p>
    <w:p w14:paraId="6F5C0DDF" w14:textId="77777777" w:rsidR="00226456" w:rsidRPr="0042059C" w:rsidRDefault="00226456" w:rsidP="008238C4">
      <w:pPr>
        <w:widowControl w:val="0"/>
        <w:autoSpaceDE w:val="0"/>
        <w:autoSpaceDN w:val="0"/>
        <w:adjustRightInd w:val="0"/>
        <w:spacing w:line="360" w:lineRule="atLeast"/>
        <w:jc w:val="center"/>
        <w:rPr>
          <w:b/>
        </w:rPr>
      </w:pPr>
      <w:r w:rsidRPr="0042059C">
        <w:rPr>
          <w:b/>
        </w:rPr>
        <w:t>Instructions for Submission of Genomic Data</w:t>
      </w:r>
    </w:p>
    <w:p w14:paraId="398D2171" w14:textId="77777777" w:rsidR="00226456" w:rsidRPr="0042059C" w:rsidRDefault="00226456" w:rsidP="00226456">
      <w:pPr>
        <w:widowControl w:val="0"/>
        <w:autoSpaceDE w:val="0"/>
        <w:autoSpaceDN w:val="0"/>
        <w:adjustRightInd w:val="0"/>
      </w:pPr>
    </w:p>
    <w:p w14:paraId="7648C896" w14:textId="77777777" w:rsidR="00226456" w:rsidRPr="0042059C" w:rsidRDefault="00226456" w:rsidP="00226456">
      <w:pPr>
        <w:widowControl w:val="0"/>
        <w:autoSpaceDE w:val="0"/>
        <w:autoSpaceDN w:val="0"/>
        <w:adjustRightInd w:val="0"/>
      </w:pPr>
    </w:p>
    <w:p w14:paraId="614408D8" w14:textId="0D7C0388" w:rsidR="00226456" w:rsidRPr="00006E96" w:rsidRDefault="00244335" w:rsidP="001A7D1B">
      <w:pPr>
        <w:widowControl w:val="0"/>
        <w:autoSpaceDE w:val="0"/>
        <w:autoSpaceDN w:val="0"/>
        <w:adjustRightInd w:val="0"/>
        <w:spacing w:before="240" w:after="120"/>
        <w:rPr>
          <w:b/>
          <w:u w:val="single"/>
        </w:rPr>
      </w:pPr>
      <w:r w:rsidRPr="00006E96">
        <w:rPr>
          <w:b/>
          <w:u w:val="single"/>
        </w:rPr>
        <w:t>General Guidelines</w:t>
      </w:r>
    </w:p>
    <w:p w14:paraId="389BA056" w14:textId="2BFC7FAB" w:rsidR="00851042" w:rsidRPr="0042059C" w:rsidRDefault="00DB1188" w:rsidP="001A7D1B">
      <w:pPr>
        <w:widowControl w:val="0"/>
        <w:autoSpaceDE w:val="0"/>
        <w:autoSpaceDN w:val="0"/>
        <w:adjustRightInd w:val="0"/>
      </w:pPr>
      <w:r w:rsidRPr="00DB1188">
        <w:rPr>
          <w:color w:val="232323"/>
        </w:rPr>
        <w:t xml:space="preserve">In order to comply with the National Cancer Institute Genomic Data Sharing (GDS) policy, the Office of Data Sharing (ODS) </w:t>
      </w:r>
      <w:r w:rsidR="00495B05">
        <w:rPr>
          <w:color w:val="232323"/>
        </w:rPr>
        <w:t>recommends</w:t>
      </w:r>
      <w:r w:rsidRPr="00DB1188">
        <w:rPr>
          <w:color w:val="232323"/>
        </w:rPr>
        <w:t xml:space="preserve"> extramural investigators </w:t>
      </w:r>
      <w:r w:rsidR="00666C8F">
        <w:rPr>
          <w:color w:val="232323"/>
        </w:rPr>
        <w:t>refer</w:t>
      </w:r>
      <w:r w:rsidR="00666D80">
        <w:rPr>
          <w:color w:val="232323"/>
        </w:rPr>
        <w:t xml:space="preserve"> to</w:t>
      </w:r>
      <w:r w:rsidRPr="00DB1188">
        <w:rPr>
          <w:color w:val="232323"/>
        </w:rPr>
        <w:t xml:space="preserve"> the </w:t>
      </w:r>
      <w:r w:rsidR="00666C8F">
        <w:rPr>
          <w:color w:val="232323"/>
        </w:rPr>
        <w:t xml:space="preserve">following links </w:t>
      </w:r>
      <w:r w:rsidR="00FE1E05">
        <w:rPr>
          <w:color w:val="232323"/>
        </w:rPr>
        <w:t xml:space="preserve">for the NIH policy for genomic data sharing and the requirements for </w:t>
      </w:r>
      <w:r w:rsidRPr="00DB1188">
        <w:rPr>
          <w:color w:val="232323"/>
        </w:rPr>
        <w:t>submitting genomic data</w:t>
      </w:r>
      <w:r w:rsidR="00FE1E05">
        <w:rPr>
          <w:color w:val="232323"/>
        </w:rPr>
        <w:t xml:space="preserve"> to NIH, NCI</w:t>
      </w:r>
      <w:r w:rsidRPr="00DB1188">
        <w:rPr>
          <w:color w:val="232323"/>
        </w:rPr>
        <w:t>.</w:t>
      </w:r>
      <w:r w:rsidR="00FE1E05">
        <w:rPr>
          <w:color w:val="232323"/>
        </w:rPr>
        <w:t xml:space="preserve">  </w:t>
      </w:r>
    </w:p>
    <w:p w14:paraId="54832CC0" w14:textId="77777777" w:rsidR="00244335" w:rsidRDefault="00244335" w:rsidP="009F5287">
      <w:pPr>
        <w:widowControl w:val="0"/>
        <w:autoSpaceDE w:val="0"/>
        <w:autoSpaceDN w:val="0"/>
        <w:adjustRightInd w:val="0"/>
        <w:rPr>
          <w:szCs w:val="22"/>
        </w:rPr>
      </w:pPr>
    </w:p>
    <w:p w14:paraId="0ED8021E" w14:textId="33621317" w:rsidR="009F5287" w:rsidRPr="009E5C41" w:rsidRDefault="009F5287" w:rsidP="009F5287">
      <w:pPr>
        <w:widowControl w:val="0"/>
        <w:autoSpaceDE w:val="0"/>
        <w:autoSpaceDN w:val="0"/>
        <w:adjustRightInd w:val="0"/>
        <w:rPr>
          <w:szCs w:val="22"/>
        </w:rPr>
      </w:pPr>
      <w:r w:rsidRPr="009E5C41">
        <w:rPr>
          <w:szCs w:val="22"/>
        </w:rPr>
        <w:t>General Data Sharing Information</w:t>
      </w:r>
    </w:p>
    <w:p w14:paraId="0FD5FCA3" w14:textId="77777777" w:rsidR="009F5287" w:rsidRPr="00DF3BE2" w:rsidRDefault="00145B36" w:rsidP="009F5287">
      <w:pPr>
        <w:widowControl w:val="0"/>
        <w:autoSpaceDE w:val="0"/>
        <w:autoSpaceDN w:val="0"/>
        <w:adjustRightInd w:val="0"/>
        <w:rPr>
          <w:rStyle w:val="Hyperlink"/>
          <w:szCs w:val="22"/>
        </w:rPr>
      </w:pPr>
      <w:hyperlink r:id="rId19" w:history="1">
        <w:r w:rsidR="009F5287" w:rsidRPr="000F396B">
          <w:rPr>
            <w:rStyle w:val="Hyperlink"/>
            <w:szCs w:val="22"/>
          </w:rPr>
          <w:t>https://cbiit.cancer.gov/data-sharing</w:t>
        </w:r>
      </w:hyperlink>
    </w:p>
    <w:p w14:paraId="1F49B47C" w14:textId="77777777" w:rsidR="009F5287" w:rsidRPr="000F396B" w:rsidRDefault="009F5287" w:rsidP="009F5287">
      <w:pPr>
        <w:widowControl w:val="0"/>
        <w:autoSpaceDE w:val="0"/>
        <w:autoSpaceDN w:val="0"/>
        <w:adjustRightInd w:val="0"/>
        <w:rPr>
          <w:szCs w:val="22"/>
        </w:rPr>
      </w:pPr>
    </w:p>
    <w:p w14:paraId="699DC685" w14:textId="52463508" w:rsidR="009F5287" w:rsidRPr="000F396B" w:rsidRDefault="009F5287" w:rsidP="009F5287">
      <w:pPr>
        <w:widowControl w:val="0"/>
        <w:autoSpaceDE w:val="0"/>
        <w:autoSpaceDN w:val="0"/>
        <w:adjustRightInd w:val="0"/>
        <w:rPr>
          <w:szCs w:val="22"/>
        </w:rPr>
      </w:pPr>
      <w:r w:rsidRPr="000F396B">
        <w:rPr>
          <w:szCs w:val="22"/>
        </w:rPr>
        <w:t xml:space="preserve">Genomic Data Sharing Policy </w:t>
      </w:r>
    </w:p>
    <w:p w14:paraId="64D5D579" w14:textId="17078BAC" w:rsidR="009F5287" w:rsidRPr="000F396B" w:rsidRDefault="00145B36" w:rsidP="009F5287">
      <w:pPr>
        <w:widowControl w:val="0"/>
        <w:autoSpaceDE w:val="0"/>
        <w:autoSpaceDN w:val="0"/>
        <w:adjustRightInd w:val="0"/>
        <w:rPr>
          <w:szCs w:val="22"/>
        </w:rPr>
      </w:pPr>
      <w:hyperlink r:id="rId20" w:history="1">
        <w:r w:rsidR="009F5287" w:rsidRPr="00244335">
          <w:rPr>
            <w:rStyle w:val="Hyperlink"/>
            <w:szCs w:val="22"/>
          </w:rPr>
          <w:t>https://osp.od.nih.gov/scientific-sharing/policies</w:t>
        </w:r>
      </w:hyperlink>
    </w:p>
    <w:p w14:paraId="7A6B7824" w14:textId="77777777" w:rsidR="009F5287" w:rsidRPr="000F396B" w:rsidRDefault="009F5287" w:rsidP="009F5287">
      <w:pPr>
        <w:widowControl w:val="0"/>
        <w:autoSpaceDE w:val="0"/>
        <w:autoSpaceDN w:val="0"/>
        <w:adjustRightInd w:val="0"/>
        <w:rPr>
          <w:szCs w:val="22"/>
        </w:rPr>
      </w:pPr>
    </w:p>
    <w:p w14:paraId="07ED0095" w14:textId="6A6D4BA5" w:rsidR="009F5287" w:rsidRPr="000F396B" w:rsidRDefault="009F5287" w:rsidP="009F5287">
      <w:pPr>
        <w:widowControl w:val="0"/>
        <w:autoSpaceDE w:val="0"/>
        <w:autoSpaceDN w:val="0"/>
        <w:adjustRightInd w:val="0"/>
        <w:rPr>
          <w:szCs w:val="22"/>
        </w:rPr>
      </w:pPr>
      <w:r w:rsidRPr="000F396B">
        <w:rPr>
          <w:szCs w:val="22"/>
        </w:rPr>
        <w:t>Extramural Data Submission</w:t>
      </w:r>
    </w:p>
    <w:p w14:paraId="2A3BFF37" w14:textId="4C4DD086" w:rsidR="009F5287" w:rsidRDefault="00145B36" w:rsidP="009F5287">
      <w:pPr>
        <w:widowControl w:val="0"/>
        <w:autoSpaceDE w:val="0"/>
        <w:autoSpaceDN w:val="0"/>
        <w:adjustRightInd w:val="0"/>
        <w:rPr>
          <w:szCs w:val="22"/>
        </w:rPr>
      </w:pPr>
      <w:hyperlink r:id="rId21" w:history="1">
        <w:r w:rsidR="00851042" w:rsidRPr="004C2875">
          <w:rPr>
            <w:rStyle w:val="Hyperlink"/>
            <w:szCs w:val="22"/>
          </w:rPr>
          <w:t>https://cbiit.cancer.gov/extramural-grantees-submitting-data</w:t>
        </w:r>
      </w:hyperlink>
    </w:p>
    <w:p w14:paraId="7CD3BFC8" w14:textId="60458629" w:rsidR="00851042" w:rsidRDefault="00851042">
      <w:pPr>
        <w:spacing w:line="240" w:lineRule="auto"/>
        <w:jc w:val="left"/>
        <w:rPr>
          <w:szCs w:val="22"/>
        </w:rPr>
      </w:pPr>
      <w:r>
        <w:rPr>
          <w:szCs w:val="22"/>
        </w:rPr>
        <w:br w:type="page"/>
      </w:r>
    </w:p>
    <w:p w14:paraId="2847E47A" w14:textId="553B31E1" w:rsidR="00987BFC" w:rsidRDefault="00987BFC" w:rsidP="00987BFC">
      <w:pPr>
        <w:pStyle w:val="P1-StandPara"/>
        <w:ind w:firstLine="360"/>
        <w:jc w:val="center"/>
        <w:rPr>
          <w:b/>
        </w:rPr>
      </w:pPr>
      <w:bookmarkStart w:id="4" w:name="AppendixD"/>
      <w:bookmarkEnd w:id="4"/>
      <w:r>
        <w:rPr>
          <w:b/>
        </w:rPr>
        <w:lastRenderedPageBreak/>
        <w:t>Appendix D</w:t>
      </w:r>
    </w:p>
    <w:p w14:paraId="6914E2FA" w14:textId="77777777" w:rsidR="00987BFC" w:rsidRDefault="00987BFC" w:rsidP="00987BFC">
      <w:pPr>
        <w:pStyle w:val="P1-StandPara"/>
        <w:ind w:firstLine="360"/>
        <w:jc w:val="center"/>
        <w:rPr>
          <w:b/>
        </w:rPr>
      </w:pPr>
      <w:r>
        <w:rPr>
          <w:b/>
        </w:rPr>
        <w:t>Consortia 2012</w:t>
      </w:r>
    </w:p>
    <w:p w14:paraId="3BA1C520" w14:textId="49683FCD" w:rsidR="00226456" w:rsidRDefault="00987BFC" w:rsidP="00987BFC">
      <w:pPr>
        <w:spacing w:line="360" w:lineRule="atLeast"/>
        <w:jc w:val="center"/>
        <w:rPr>
          <w:b/>
        </w:rPr>
      </w:pPr>
      <w:r>
        <w:rPr>
          <w:b/>
        </w:rPr>
        <w:t>Study Unblinding Data Requirements</w:t>
      </w:r>
      <w:r w:rsidR="008B7F44">
        <w:rPr>
          <w:b/>
        </w:rPr>
        <w:t xml:space="preserve"> </w:t>
      </w:r>
    </w:p>
    <w:p w14:paraId="09946842" w14:textId="5797AEBE" w:rsidR="00987BFC" w:rsidRDefault="00987BFC" w:rsidP="00987BFC">
      <w:pPr>
        <w:spacing w:line="360" w:lineRule="atLeast"/>
        <w:jc w:val="center"/>
        <w:rPr>
          <w:b/>
        </w:rPr>
      </w:pPr>
    </w:p>
    <w:p w14:paraId="7117862A" w14:textId="77777777" w:rsidR="00987BFC" w:rsidRDefault="00987BFC" w:rsidP="00987BFC">
      <w:pPr>
        <w:spacing w:line="360" w:lineRule="atLeast"/>
        <w:jc w:val="center"/>
        <w:rPr>
          <w:b/>
        </w:rPr>
      </w:pPr>
    </w:p>
    <w:p w14:paraId="2A0EDFE3" w14:textId="396D4C47" w:rsidR="00987BFC" w:rsidRPr="004065A6" w:rsidRDefault="00987BFC" w:rsidP="00987BFC">
      <w:pPr>
        <w:spacing w:line="360" w:lineRule="atLeast"/>
        <w:jc w:val="left"/>
        <w:rPr>
          <w:b/>
          <w:szCs w:val="22"/>
          <w:u w:val="single"/>
        </w:rPr>
      </w:pPr>
      <w:r w:rsidRPr="004065A6">
        <w:rPr>
          <w:b/>
          <w:szCs w:val="22"/>
          <w:u w:val="single"/>
        </w:rPr>
        <w:t>General Guidelines</w:t>
      </w:r>
    </w:p>
    <w:p w14:paraId="311416A3" w14:textId="77777777" w:rsidR="00372703" w:rsidRPr="00F16BA6" w:rsidRDefault="00372703" w:rsidP="00372703">
      <w:pPr>
        <w:spacing w:line="240" w:lineRule="auto"/>
        <w:jc w:val="left"/>
        <w:rPr>
          <w:b/>
          <w:szCs w:val="22"/>
        </w:rPr>
      </w:pPr>
    </w:p>
    <w:p w14:paraId="112E1337" w14:textId="1577F83B" w:rsidR="00D964D1" w:rsidRDefault="007B430F" w:rsidP="004065A6">
      <w:pPr>
        <w:numPr>
          <w:ilvl w:val="0"/>
          <w:numId w:val="45"/>
        </w:numPr>
        <w:spacing w:after="120" w:line="240" w:lineRule="auto"/>
        <w:jc w:val="left"/>
      </w:pPr>
      <w:r>
        <w:t>Treatment/study intervention assignments for all randomized participants are to be unblinded</w:t>
      </w:r>
      <w:r w:rsidR="005E474A">
        <w:t xml:space="preserve">, </w:t>
      </w:r>
      <w:r w:rsidR="008C2DE8">
        <w:t>whether</w:t>
      </w:r>
      <w:r w:rsidR="005E474A">
        <w:t xml:space="preserve"> </w:t>
      </w:r>
      <w:r w:rsidR="00986EBD" w:rsidRPr="00074ACF">
        <w:t xml:space="preserve">or not </w:t>
      </w:r>
      <w:r w:rsidR="005E474A" w:rsidRPr="00074ACF">
        <w:t>the</w:t>
      </w:r>
      <w:r w:rsidR="005E474A">
        <w:t xml:space="preserve"> randomized participant </w:t>
      </w:r>
      <w:r w:rsidR="008C2DE8">
        <w:t>received</w:t>
      </w:r>
      <w:r w:rsidR="005E474A">
        <w:t xml:space="preserve"> the study agent/intervention</w:t>
      </w:r>
      <w:r w:rsidR="007B75B8">
        <w:t xml:space="preserve">. </w:t>
      </w:r>
    </w:p>
    <w:p w14:paraId="78BA7492" w14:textId="367AA828" w:rsidR="007B430F" w:rsidRDefault="007B430F" w:rsidP="00EF36F4">
      <w:pPr>
        <w:numPr>
          <w:ilvl w:val="0"/>
          <w:numId w:val="45"/>
        </w:numPr>
        <w:spacing w:before="120" w:line="240" w:lineRule="auto"/>
        <w:jc w:val="left"/>
      </w:pPr>
      <w:r>
        <w:t xml:space="preserve">No information identifying a participant should be included in the dataset. </w:t>
      </w:r>
    </w:p>
    <w:p w14:paraId="2639911C" w14:textId="7C51711D" w:rsidR="007B430F" w:rsidRDefault="007B430F" w:rsidP="00EF36F4">
      <w:pPr>
        <w:numPr>
          <w:ilvl w:val="0"/>
          <w:numId w:val="45"/>
        </w:numPr>
        <w:spacing w:before="120" w:line="240" w:lineRule="auto"/>
        <w:jc w:val="left"/>
      </w:pPr>
      <w:r>
        <w:t>To facilitate the integration of data across all C</w:t>
      </w:r>
      <w:r w:rsidR="005E474A">
        <w:t xml:space="preserve">onsortia </w:t>
      </w:r>
      <w:r>
        <w:t>2012 studies, the use of CDEs in reporting these data are required.</w:t>
      </w:r>
      <w:r w:rsidR="002B2B21">
        <w:t xml:space="preserve"> </w:t>
      </w:r>
      <w:r>
        <w:t xml:space="preserve"> Only valid values from the CDE list</w:t>
      </w:r>
      <w:r w:rsidR="005E474A">
        <w:t xml:space="preserve"> of values</w:t>
      </w:r>
      <w:r>
        <w:t xml:space="preserve"> for the study should be used.</w:t>
      </w:r>
    </w:p>
    <w:p w14:paraId="35AC942D" w14:textId="3B469C16" w:rsidR="007F7726" w:rsidRDefault="007F7726" w:rsidP="00EF36F4">
      <w:pPr>
        <w:numPr>
          <w:ilvl w:val="0"/>
          <w:numId w:val="45"/>
        </w:numPr>
        <w:spacing w:before="120" w:line="240" w:lineRule="auto"/>
        <w:jc w:val="left"/>
      </w:pPr>
      <w:r>
        <w:t xml:space="preserve">Unblinding </w:t>
      </w:r>
      <w:r w:rsidR="007E4A6C">
        <w:t>d</w:t>
      </w:r>
      <w:r>
        <w:t xml:space="preserve">ata should be submitted as </w:t>
      </w:r>
      <w:r>
        <w:rPr>
          <w:szCs w:val="22"/>
        </w:rPr>
        <w:t xml:space="preserve">either </w:t>
      </w:r>
      <w:r w:rsidR="00372703">
        <w:rPr>
          <w:szCs w:val="22"/>
        </w:rPr>
        <w:t>study-specific</w:t>
      </w:r>
      <w:r>
        <w:rPr>
          <w:szCs w:val="22"/>
        </w:rPr>
        <w:t xml:space="preserve"> </w:t>
      </w:r>
      <w:r w:rsidRPr="00330697">
        <w:rPr>
          <w:szCs w:val="22"/>
        </w:rPr>
        <w:t>SAS datasets</w:t>
      </w:r>
      <w:r w:rsidR="00427052">
        <w:rPr>
          <w:szCs w:val="22"/>
        </w:rPr>
        <w:t xml:space="preserve"> </w:t>
      </w:r>
      <w:r w:rsidR="0056124F">
        <w:rPr>
          <w:szCs w:val="22"/>
        </w:rPr>
        <w:t xml:space="preserve">(preferred), </w:t>
      </w:r>
      <w:r>
        <w:rPr>
          <w:szCs w:val="22"/>
        </w:rPr>
        <w:t>CSV files</w:t>
      </w:r>
      <w:r w:rsidR="00427052">
        <w:rPr>
          <w:szCs w:val="22"/>
        </w:rPr>
        <w:t>,</w:t>
      </w:r>
      <w:r>
        <w:t xml:space="preserve"> or in a spreadsheet format. </w:t>
      </w:r>
      <w:r w:rsidR="005E474A">
        <w:t xml:space="preserve"> (See </w:t>
      </w:r>
      <w:hyperlink r:id="rId22" w:history="1">
        <w:r w:rsidR="005E474A" w:rsidRPr="00FF5D42">
          <w:rPr>
            <w:rStyle w:val="Hyperlink"/>
          </w:rPr>
          <w:t>SOP13d: Study Unblinding Worksheet</w:t>
        </w:r>
      </w:hyperlink>
      <w:r w:rsidR="005E474A">
        <w:t>)</w:t>
      </w:r>
    </w:p>
    <w:p w14:paraId="2447D30E" w14:textId="5D1AAF80" w:rsidR="007B430F" w:rsidRDefault="005E474A" w:rsidP="004065A6">
      <w:pPr>
        <w:numPr>
          <w:ilvl w:val="0"/>
          <w:numId w:val="45"/>
        </w:numPr>
        <w:spacing w:before="120" w:line="240" w:lineRule="auto"/>
        <w:jc w:val="left"/>
      </w:pPr>
      <w:r>
        <w:t xml:space="preserve">An unblinding key will be provided </w:t>
      </w:r>
      <w:r w:rsidR="007B75B8">
        <w:t xml:space="preserve">to the DCP Regulatory Contractor </w:t>
      </w:r>
      <w:r>
        <w:t>to support their review of Consortia 2012 safety data.</w:t>
      </w:r>
    </w:p>
    <w:p w14:paraId="0B11D0E9" w14:textId="77777777" w:rsidR="007B430F" w:rsidRDefault="007B430F" w:rsidP="007E4A6C">
      <w:pPr>
        <w:spacing w:line="240" w:lineRule="auto"/>
        <w:jc w:val="left"/>
      </w:pPr>
    </w:p>
    <w:p w14:paraId="081A46B0" w14:textId="0E301538" w:rsidR="007B430F" w:rsidRPr="004065A6" w:rsidRDefault="007B430F" w:rsidP="007E4A6C">
      <w:pPr>
        <w:spacing w:line="240" w:lineRule="auto"/>
        <w:jc w:val="left"/>
        <w:rPr>
          <w:b/>
          <w:u w:val="single"/>
        </w:rPr>
      </w:pPr>
      <w:r w:rsidRPr="004065A6">
        <w:rPr>
          <w:b/>
          <w:u w:val="single"/>
        </w:rPr>
        <w:t>Data</w:t>
      </w:r>
      <w:r w:rsidR="007E4A6C" w:rsidRPr="004065A6">
        <w:rPr>
          <w:b/>
          <w:u w:val="single"/>
        </w:rPr>
        <w:t xml:space="preserve"> </w:t>
      </w:r>
      <w:r w:rsidR="00613367">
        <w:rPr>
          <w:b/>
          <w:u w:val="single"/>
        </w:rPr>
        <w:t xml:space="preserve">Reporting </w:t>
      </w:r>
      <w:r w:rsidR="007E4A6C" w:rsidRPr="004065A6">
        <w:rPr>
          <w:b/>
          <w:u w:val="single"/>
        </w:rPr>
        <w:t>Requirements</w:t>
      </w:r>
    </w:p>
    <w:p w14:paraId="78642A80" w14:textId="77777777" w:rsidR="007B430F" w:rsidRDefault="007B430F" w:rsidP="007E4A6C">
      <w:pPr>
        <w:spacing w:line="240" w:lineRule="auto"/>
        <w:jc w:val="left"/>
      </w:pPr>
    </w:p>
    <w:p w14:paraId="4D1DB8A5" w14:textId="59475EF2" w:rsidR="007B430F" w:rsidRDefault="007B430F" w:rsidP="007E4A6C">
      <w:pPr>
        <w:spacing w:line="240" w:lineRule="auto"/>
        <w:jc w:val="left"/>
      </w:pPr>
      <w:r>
        <w:t xml:space="preserve">The following data </w:t>
      </w:r>
      <w:r w:rsidR="0056124F">
        <w:t>must</w:t>
      </w:r>
      <w:r w:rsidR="007E4A6C">
        <w:t xml:space="preserve"> be submitted</w:t>
      </w:r>
      <w:r>
        <w:t xml:space="preserve"> </w:t>
      </w:r>
      <w:r w:rsidR="005E474A">
        <w:t xml:space="preserve">to document </w:t>
      </w:r>
      <w:r w:rsidR="007E4A6C">
        <w:t xml:space="preserve">study unblinding.  All data are required </w:t>
      </w:r>
      <w:r>
        <w:t>to ensure an accurate association between the participant and the assigned intervention.</w:t>
      </w:r>
    </w:p>
    <w:p w14:paraId="08417740" w14:textId="63CBB0D7" w:rsidR="007B430F" w:rsidRDefault="007B430F" w:rsidP="00427052">
      <w:pPr>
        <w:pStyle w:val="ListParagraph"/>
        <w:numPr>
          <w:ilvl w:val="0"/>
          <w:numId w:val="48"/>
        </w:numPr>
        <w:spacing w:before="40"/>
        <w:rPr>
          <w:sz w:val="22"/>
          <w:szCs w:val="22"/>
        </w:rPr>
      </w:pPr>
      <w:r w:rsidRPr="00646C49">
        <w:rPr>
          <w:sz w:val="22"/>
          <w:szCs w:val="22"/>
        </w:rPr>
        <w:t>DCP Protocol Number</w:t>
      </w:r>
    </w:p>
    <w:p w14:paraId="184C252A" w14:textId="7142BEE4" w:rsidR="009228D0" w:rsidRPr="00646C49" w:rsidRDefault="009228D0" w:rsidP="00427052">
      <w:pPr>
        <w:pStyle w:val="ListParagraph"/>
        <w:numPr>
          <w:ilvl w:val="0"/>
          <w:numId w:val="48"/>
        </w:numPr>
        <w:spacing w:before="40"/>
        <w:rPr>
          <w:sz w:val="22"/>
          <w:szCs w:val="22"/>
        </w:rPr>
      </w:pPr>
      <w:r>
        <w:rPr>
          <w:sz w:val="22"/>
          <w:szCs w:val="22"/>
        </w:rPr>
        <w:t>Registering Consortium Code</w:t>
      </w:r>
    </w:p>
    <w:p w14:paraId="5288758A" w14:textId="631A9D2F" w:rsidR="007B430F" w:rsidRPr="00646C49" w:rsidRDefault="00427052" w:rsidP="00427052">
      <w:pPr>
        <w:pStyle w:val="ListParagraph"/>
        <w:numPr>
          <w:ilvl w:val="0"/>
          <w:numId w:val="48"/>
        </w:numPr>
        <w:spacing w:before="40"/>
        <w:rPr>
          <w:sz w:val="22"/>
          <w:szCs w:val="22"/>
        </w:rPr>
      </w:pPr>
      <w:r w:rsidRPr="00646C49">
        <w:rPr>
          <w:sz w:val="22"/>
          <w:szCs w:val="22"/>
        </w:rPr>
        <w:t xml:space="preserve">Registering </w:t>
      </w:r>
      <w:r w:rsidR="007B430F" w:rsidRPr="00646C49">
        <w:rPr>
          <w:sz w:val="22"/>
          <w:szCs w:val="22"/>
        </w:rPr>
        <w:t>Institution Name</w:t>
      </w:r>
    </w:p>
    <w:p w14:paraId="58121E2D" w14:textId="440168FB" w:rsidR="007B430F" w:rsidRPr="00646C49" w:rsidRDefault="00427052" w:rsidP="00427052">
      <w:pPr>
        <w:pStyle w:val="ListParagraph"/>
        <w:numPr>
          <w:ilvl w:val="0"/>
          <w:numId w:val="48"/>
        </w:numPr>
        <w:spacing w:before="40"/>
        <w:rPr>
          <w:sz w:val="22"/>
          <w:szCs w:val="22"/>
        </w:rPr>
      </w:pPr>
      <w:r w:rsidRPr="00646C49">
        <w:rPr>
          <w:sz w:val="22"/>
          <w:szCs w:val="22"/>
        </w:rPr>
        <w:t xml:space="preserve">Registering </w:t>
      </w:r>
      <w:r w:rsidR="007B430F" w:rsidRPr="00646C49">
        <w:rPr>
          <w:sz w:val="22"/>
          <w:szCs w:val="22"/>
        </w:rPr>
        <w:t>Institution Code</w:t>
      </w:r>
    </w:p>
    <w:p w14:paraId="4A1C8588" w14:textId="64E77F32" w:rsidR="007B430F" w:rsidRPr="00646C49" w:rsidRDefault="007B430F" w:rsidP="00427052">
      <w:pPr>
        <w:pStyle w:val="ListParagraph"/>
        <w:numPr>
          <w:ilvl w:val="0"/>
          <w:numId w:val="48"/>
        </w:numPr>
        <w:spacing w:before="40"/>
        <w:rPr>
          <w:sz w:val="22"/>
          <w:szCs w:val="22"/>
        </w:rPr>
      </w:pPr>
      <w:r w:rsidRPr="00646C49">
        <w:rPr>
          <w:sz w:val="22"/>
          <w:szCs w:val="22"/>
        </w:rPr>
        <w:t>Participant ID</w:t>
      </w:r>
      <w:r w:rsidR="0056124F">
        <w:rPr>
          <w:sz w:val="22"/>
          <w:szCs w:val="22"/>
        </w:rPr>
        <w:t xml:space="preserve"> (PID)</w:t>
      </w:r>
    </w:p>
    <w:p w14:paraId="433B7C6F" w14:textId="77777777" w:rsidR="007B430F" w:rsidRPr="00646C49" w:rsidRDefault="007B430F" w:rsidP="00427052">
      <w:pPr>
        <w:pStyle w:val="ListParagraph"/>
        <w:numPr>
          <w:ilvl w:val="0"/>
          <w:numId w:val="48"/>
        </w:numPr>
        <w:spacing w:before="40"/>
        <w:rPr>
          <w:sz w:val="22"/>
          <w:szCs w:val="22"/>
        </w:rPr>
      </w:pPr>
      <w:r w:rsidRPr="00646C49">
        <w:rPr>
          <w:sz w:val="22"/>
          <w:szCs w:val="22"/>
        </w:rPr>
        <w:t>Participant Birth Date</w:t>
      </w:r>
    </w:p>
    <w:p w14:paraId="5C2199D8" w14:textId="77777777" w:rsidR="007B430F" w:rsidRPr="00646C49" w:rsidRDefault="007B430F" w:rsidP="00427052">
      <w:pPr>
        <w:pStyle w:val="ListParagraph"/>
        <w:numPr>
          <w:ilvl w:val="0"/>
          <w:numId w:val="48"/>
        </w:numPr>
        <w:spacing w:before="40"/>
        <w:rPr>
          <w:sz w:val="22"/>
          <w:szCs w:val="22"/>
        </w:rPr>
      </w:pPr>
      <w:r w:rsidRPr="00646C49">
        <w:rPr>
          <w:sz w:val="22"/>
          <w:szCs w:val="22"/>
        </w:rPr>
        <w:t>Randomization Number (if applicable)</w:t>
      </w:r>
    </w:p>
    <w:p w14:paraId="1017E669" w14:textId="5A264B76" w:rsidR="007B430F" w:rsidRPr="00646C49" w:rsidRDefault="007B430F" w:rsidP="00427052">
      <w:pPr>
        <w:pStyle w:val="ListParagraph"/>
        <w:numPr>
          <w:ilvl w:val="0"/>
          <w:numId w:val="48"/>
        </w:numPr>
        <w:spacing w:before="40"/>
        <w:rPr>
          <w:sz w:val="22"/>
          <w:szCs w:val="22"/>
        </w:rPr>
      </w:pPr>
      <w:r w:rsidRPr="00646C49">
        <w:rPr>
          <w:sz w:val="22"/>
          <w:szCs w:val="22"/>
        </w:rPr>
        <w:t>T</w:t>
      </w:r>
      <w:r w:rsidR="00C87BDB" w:rsidRPr="00646C49">
        <w:rPr>
          <w:sz w:val="22"/>
          <w:szCs w:val="22"/>
        </w:rPr>
        <w:t xml:space="preserve">reatment Assignment Code (TAC) </w:t>
      </w:r>
    </w:p>
    <w:p w14:paraId="7FEF160B" w14:textId="77777777" w:rsidR="007B430F" w:rsidRPr="00646C49" w:rsidRDefault="007B430F" w:rsidP="00427052">
      <w:pPr>
        <w:pStyle w:val="ListParagraph"/>
        <w:numPr>
          <w:ilvl w:val="0"/>
          <w:numId w:val="48"/>
        </w:numPr>
        <w:spacing w:before="40"/>
        <w:rPr>
          <w:sz w:val="22"/>
          <w:szCs w:val="22"/>
        </w:rPr>
      </w:pPr>
      <w:r w:rsidRPr="00646C49">
        <w:rPr>
          <w:sz w:val="22"/>
          <w:szCs w:val="22"/>
        </w:rPr>
        <w:t>Agent Name</w:t>
      </w:r>
    </w:p>
    <w:p w14:paraId="122DA447" w14:textId="77777777" w:rsidR="007B430F" w:rsidRPr="00646C49" w:rsidRDefault="007B430F" w:rsidP="00427052">
      <w:pPr>
        <w:pStyle w:val="ListParagraph"/>
        <w:numPr>
          <w:ilvl w:val="0"/>
          <w:numId w:val="48"/>
        </w:numPr>
        <w:spacing w:before="40"/>
        <w:rPr>
          <w:sz w:val="22"/>
          <w:szCs w:val="22"/>
        </w:rPr>
      </w:pPr>
      <w:r w:rsidRPr="00646C49">
        <w:rPr>
          <w:sz w:val="22"/>
          <w:szCs w:val="22"/>
        </w:rPr>
        <w:t>Agent Dose</w:t>
      </w:r>
    </w:p>
    <w:p w14:paraId="7C03EA11" w14:textId="77777777" w:rsidR="007B430F" w:rsidRPr="00646C49" w:rsidRDefault="007B430F" w:rsidP="00427052">
      <w:pPr>
        <w:pStyle w:val="ListParagraph"/>
        <w:numPr>
          <w:ilvl w:val="0"/>
          <w:numId w:val="48"/>
        </w:numPr>
        <w:spacing w:before="40"/>
        <w:rPr>
          <w:sz w:val="22"/>
          <w:szCs w:val="22"/>
        </w:rPr>
      </w:pPr>
      <w:r w:rsidRPr="00646C49">
        <w:rPr>
          <w:sz w:val="22"/>
          <w:szCs w:val="22"/>
        </w:rPr>
        <w:t>Agent Units</w:t>
      </w:r>
    </w:p>
    <w:p w14:paraId="3D3789CF" w14:textId="045E2E23" w:rsidR="007B430F" w:rsidRDefault="007B430F" w:rsidP="00427052">
      <w:pPr>
        <w:pStyle w:val="ListParagraph"/>
        <w:numPr>
          <w:ilvl w:val="0"/>
          <w:numId w:val="48"/>
        </w:numPr>
        <w:spacing w:before="40"/>
        <w:rPr>
          <w:sz w:val="22"/>
          <w:szCs w:val="22"/>
        </w:rPr>
      </w:pPr>
      <w:r w:rsidRPr="00646C49">
        <w:rPr>
          <w:sz w:val="22"/>
          <w:szCs w:val="22"/>
        </w:rPr>
        <w:t xml:space="preserve">Agent Frequency </w:t>
      </w:r>
    </w:p>
    <w:p w14:paraId="07C26912" w14:textId="77777777" w:rsidR="00613367" w:rsidRPr="00074ACF" w:rsidRDefault="00613367" w:rsidP="004065A6">
      <w:pPr>
        <w:spacing w:before="40"/>
        <w:ind w:left="360"/>
        <w:rPr>
          <w:szCs w:val="22"/>
        </w:rPr>
      </w:pPr>
    </w:p>
    <w:p w14:paraId="2A81F397" w14:textId="534CEBD2" w:rsidR="007B430F" w:rsidRPr="00074ACF" w:rsidRDefault="00613367" w:rsidP="00613367">
      <w:pPr>
        <w:tabs>
          <w:tab w:val="left" w:pos="720"/>
        </w:tabs>
        <w:spacing w:line="240" w:lineRule="auto"/>
        <w:jc w:val="left"/>
      </w:pPr>
      <w:r w:rsidRPr="00074ACF">
        <w:t xml:space="preserve">A “Comments” column </w:t>
      </w:r>
      <w:r w:rsidR="00DD6918">
        <w:t>can be added to</w:t>
      </w:r>
      <w:r w:rsidRPr="00074ACF">
        <w:t xml:space="preserve"> the Study Unblinding Worksheet </w:t>
      </w:r>
      <w:r w:rsidR="004D11D3" w:rsidRPr="00074ACF">
        <w:t xml:space="preserve">to use </w:t>
      </w:r>
      <w:r w:rsidRPr="00074ACF">
        <w:t>when needed to report any additional information about a participant’s unblinding.  For example:</w:t>
      </w:r>
    </w:p>
    <w:p w14:paraId="194C638B" w14:textId="0713E15D" w:rsidR="00613367" w:rsidRPr="00090554" w:rsidRDefault="00613367" w:rsidP="004065A6">
      <w:pPr>
        <w:pStyle w:val="ListParagraph"/>
        <w:numPr>
          <w:ilvl w:val="0"/>
          <w:numId w:val="51"/>
        </w:numPr>
        <w:tabs>
          <w:tab w:val="left" w:pos="720"/>
        </w:tabs>
        <w:spacing w:before="40"/>
      </w:pPr>
      <w:r w:rsidRPr="00074ACF">
        <w:rPr>
          <w:sz w:val="22"/>
        </w:rPr>
        <w:t>The TAC is changed from the TAC assigned at registration (for non-randomized studies) or</w:t>
      </w:r>
      <w:r w:rsidRPr="004065A6">
        <w:rPr>
          <w:sz w:val="22"/>
        </w:rPr>
        <w:t xml:space="preserve"> randomization.  The comments should include the date the TAC was changed and the reason for the change.</w:t>
      </w:r>
    </w:p>
    <w:p w14:paraId="0F80E0AF" w14:textId="2DE730EB" w:rsidR="00613367" w:rsidRPr="00090554" w:rsidRDefault="00613367" w:rsidP="004065A6">
      <w:pPr>
        <w:pStyle w:val="ListParagraph"/>
        <w:numPr>
          <w:ilvl w:val="0"/>
          <w:numId w:val="51"/>
        </w:numPr>
        <w:tabs>
          <w:tab w:val="left" w:pos="720"/>
        </w:tabs>
      </w:pPr>
      <w:r w:rsidRPr="004065A6">
        <w:rPr>
          <w:sz w:val="22"/>
        </w:rPr>
        <w:t>Institution or study-specific practices for data reporting require clarification by the study site staff.</w:t>
      </w:r>
    </w:p>
    <w:sectPr w:rsidR="00613367" w:rsidRPr="00090554" w:rsidSect="001A7D1B">
      <w:headerReference w:type="default" r:id="rId23"/>
      <w:footerReference w:type="default" r:id="rId24"/>
      <w:footerReference w:type="first" r:id="rId25"/>
      <w:pgSz w:w="12240" w:h="15840" w:code="1"/>
      <w:pgMar w:top="1440" w:right="1440" w:bottom="1152" w:left="1440" w:header="576" w:footer="288" w:gutter="0"/>
      <w:pgNumType w:start="1"/>
      <w:cols w:space="720"/>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2AD7" w14:textId="77777777" w:rsidR="00145B36" w:rsidRDefault="00145B36">
      <w:r>
        <w:separator/>
      </w:r>
    </w:p>
  </w:endnote>
  <w:endnote w:type="continuationSeparator" w:id="0">
    <w:p w14:paraId="4B86575F" w14:textId="77777777" w:rsidR="00145B36" w:rsidRDefault="0014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DF2AE" w14:textId="45F1D1EB" w:rsidR="00E41AA2" w:rsidRPr="00294435" w:rsidRDefault="00E41AA2" w:rsidP="00E41AA2">
    <w:pPr>
      <w:pStyle w:val="Footer"/>
      <w:rPr>
        <w:sz w:val="20"/>
      </w:rPr>
    </w:pPr>
    <w:r w:rsidRPr="00294435">
      <w:rPr>
        <w:sz w:val="20"/>
      </w:rPr>
      <w:t>SOP 13: Site Prep</w:t>
    </w:r>
    <w:r w:rsidR="001F1B49">
      <w:rPr>
        <w:sz w:val="20"/>
      </w:rPr>
      <w:t>arations for Study</w:t>
    </w:r>
    <w:r w:rsidRPr="00294435">
      <w:rPr>
        <w:sz w:val="20"/>
      </w:rPr>
      <w:t xml:space="preserve"> Closeout</w:t>
    </w:r>
  </w:p>
  <w:p w14:paraId="7DD3E32F" w14:textId="411ACEFC" w:rsidR="003C3A87" w:rsidRPr="00E41AA2" w:rsidRDefault="00294435" w:rsidP="00E41AA2">
    <w:pPr>
      <w:pStyle w:val="Footer"/>
      <w:rPr>
        <w:sz w:val="20"/>
      </w:rPr>
    </w:pPr>
    <w:r>
      <w:rPr>
        <w:sz w:val="20"/>
      </w:rPr>
      <w:t xml:space="preserve">Version </w:t>
    </w:r>
    <w:r w:rsidR="00E41AA2" w:rsidRPr="00294435">
      <w:rPr>
        <w:sz w:val="20"/>
      </w:rPr>
      <w:t>Date</w:t>
    </w:r>
    <w:r w:rsidRPr="00294435">
      <w:rPr>
        <w:sz w:val="20"/>
      </w:rPr>
      <w:t xml:space="preserve">: </w:t>
    </w:r>
    <w:r w:rsidR="007D424E">
      <w:rPr>
        <w:sz w:val="20"/>
      </w:rPr>
      <w:t>January 31</w:t>
    </w:r>
    <w:r w:rsidR="002719C9">
      <w:rPr>
        <w:sz w:val="20"/>
      </w:rPr>
      <w:t xml:space="preserve">, </w:t>
    </w:r>
    <w:proofErr w:type="gramStart"/>
    <w:r w:rsidR="002719C9">
      <w:rPr>
        <w:sz w:val="20"/>
      </w:rPr>
      <w:t>202</w:t>
    </w:r>
    <w:r w:rsidR="007D424E">
      <w:rPr>
        <w:sz w:val="20"/>
      </w:rPr>
      <w:t>2</w:t>
    </w:r>
    <w:proofErr w:type="gramEnd"/>
    <w:r w:rsidR="002719C9">
      <w:rPr>
        <w:sz w:val="20"/>
      </w:rPr>
      <w:t xml:space="preserve"> </w:t>
    </w:r>
    <w:r w:rsidR="00286F38" w:rsidRPr="00294435">
      <w:rPr>
        <w:sz w:val="20"/>
      </w:rPr>
      <w:ptab w:relativeTo="margin" w:alignment="center" w:leader="none"/>
    </w:r>
    <w:r w:rsidR="00286F38" w:rsidRPr="00294435">
      <w:rPr>
        <w:sz w:val="20"/>
      </w:rPr>
      <w:ptab w:relativeTo="margin" w:alignment="right" w:leader="none"/>
    </w:r>
    <w:r w:rsidR="00286F38" w:rsidRPr="00294435">
      <w:rPr>
        <w:sz w:val="20"/>
      </w:rPr>
      <w:t xml:space="preserve">Page </w:t>
    </w:r>
    <w:r w:rsidR="00E41AA2" w:rsidRPr="00294435">
      <w:rPr>
        <w:b/>
        <w:bCs/>
        <w:sz w:val="20"/>
      </w:rPr>
      <w:fldChar w:fldCharType="begin"/>
    </w:r>
    <w:r w:rsidR="00E41AA2" w:rsidRPr="00294435">
      <w:rPr>
        <w:b/>
        <w:bCs/>
        <w:sz w:val="20"/>
      </w:rPr>
      <w:instrText xml:space="preserve"> PAGE  \* Arabic  \* MERGEFORMAT </w:instrText>
    </w:r>
    <w:r w:rsidR="00E41AA2" w:rsidRPr="00294435">
      <w:rPr>
        <w:b/>
        <w:bCs/>
        <w:sz w:val="20"/>
      </w:rPr>
      <w:fldChar w:fldCharType="separate"/>
    </w:r>
    <w:r w:rsidR="009609BA">
      <w:rPr>
        <w:b/>
        <w:bCs/>
        <w:noProof/>
        <w:sz w:val="20"/>
      </w:rPr>
      <w:t>1</w:t>
    </w:r>
    <w:r w:rsidR="00E41AA2" w:rsidRPr="00294435">
      <w:rPr>
        <w:b/>
        <w:bCs/>
        <w:sz w:val="20"/>
      </w:rPr>
      <w:fldChar w:fldCharType="end"/>
    </w:r>
    <w:r w:rsidR="00E41AA2" w:rsidRPr="00294435">
      <w:rPr>
        <w:sz w:val="20"/>
      </w:rPr>
      <w:t xml:space="preserve"> of </w:t>
    </w:r>
    <w:r w:rsidR="00E41AA2" w:rsidRPr="00294435">
      <w:rPr>
        <w:b/>
        <w:bCs/>
        <w:sz w:val="20"/>
      </w:rPr>
      <w:fldChar w:fldCharType="begin"/>
    </w:r>
    <w:r w:rsidR="00E41AA2" w:rsidRPr="00294435">
      <w:rPr>
        <w:b/>
        <w:bCs/>
        <w:sz w:val="20"/>
      </w:rPr>
      <w:instrText xml:space="preserve"> NUMPAGES  \* Arabic  \* MERGEFORMAT </w:instrText>
    </w:r>
    <w:r w:rsidR="00E41AA2" w:rsidRPr="00294435">
      <w:rPr>
        <w:b/>
        <w:bCs/>
        <w:sz w:val="20"/>
      </w:rPr>
      <w:fldChar w:fldCharType="separate"/>
    </w:r>
    <w:r w:rsidR="009609BA">
      <w:rPr>
        <w:b/>
        <w:bCs/>
        <w:noProof/>
        <w:sz w:val="20"/>
      </w:rPr>
      <w:t>8</w:t>
    </w:r>
    <w:r w:rsidR="00E41AA2" w:rsidRPr="00294435">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015F" w14:textId="77777777" w:rsidR="003C3A87" w:rsidRPr="00E50EE9" w:rsidRDefault="003C3A87" w:rsidP="00E50EE9">
    <w:pPr>
      <w:rPr>
        <w:sz w:val="16"/>
        <w:szCs w:val="16"/>
      </w:rPr>
    </w:pPr>
    <w:r w:rsidRPr="00E50EE9">
      <w:rPr>
        <w:sz w:val="16"/>
        <w:szCs w:val="16"/>
      </w:rPr>
      <w:t>DCP SOP Number: 21</w:t>
    </w:r>
  </w:p>
  <w:p w14:paraId="3D5457B4" w14:textId="77777777" w:rsidR="003C3A87" w:rsidRPr="00E50EE9" w:rsidRDefault="003C3A87" w:rsidP="00E50EE9">
    <w:pPr>
      <w:ind w:left="540" w:hanging="540"/>
      <w:rPr>
        <w:color w:val="FF0000"/>
        <w:sz w:val="16"/>
        <w:szCs w:val="16"/>
      </w:rPr>
    </w:pPr>
    <w:r w:rsidRPr="00E50EE9">
      <w:rPr>
        <w:sz w:val="16"/>
        <w:szCs w:val="16"/>
      </w:rPr>
      <w:t xml:space="preserve">Title: DCP SOP Instructions </w:t>
    </w:r>
    <w:r w:rsidRPr="00E50EE9">
      <w:rPr>
        <w:b/>
        <w:sz w:val="16"/>
        <w:szCs w:val="16"/>
      </w:rPr>
      <w:t>(Intended for CLO and PO)</w:t>
    </w:r>
  </w:p>
  <w:p w14:paraId="67B56517" w14:textId="2959F637" w:rsidR="003C3A87" w:rsidRDefault="003C3A87" w:rsidP="00E50EE9">
    <w:pPr>
      <w:pStyle w:val="Footer"/>
      <w:tabs>
        <w:tab w:val="left" w:pos="8640"/>
      </w:tabs>
      <w:jc w:val="center"/>
      <w:rP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sidR="001128D4">
      <w:rPr>
        <w:rStyle w:val="PageNumber"/>
        <w:noProof/>
        <w:snapToGrid w:val="0"/>
        <w:sz w:val="16"/>
      </w:rPr>
      <w:t>8</w:t>
    </w:r>
    <w:r>
      <w:rPr>
        <w:rStyle w:val="PageNumber"/>
        <w:snapToGrid w:val="0"/>
        <w:sz w:val="16"/>
      </w:rPr>
      <w:fldChar w:fldCharType="end"/>
    </w:r>
  </w:p>
  <w:p w14:paraId="34F405E3" w14:textId="77777777" w:rsidR="003C3A87" w:rsidRDefault="003C3A87">
    <w:pPr>
      <w:pStyle w:val="Footer"/>
      <w:tabs>
        <w:tab w:val="left" w:pos="10440"/>
        <w:tab w:val="left" w:pos="1152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C2F02" w14:textId="77777777" w:rsidR="00145B36" w:rsidRDefault="00145B36">
      <w:r>
        <w:separator/>
      </w:r>
    </w:p>
  </w:footnote>
  <w:footnote w:type="continuationSeparator" w:id="0">
    <w:p w14:paraId="3E9B1A1C" w14:textId="77777777" w:rsidR="00145B36" w:rsidRDefault="0014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E08D" w14:textId="77777777" w:rsidR="003C3A87" w:rsidRDefault="003C3A87" w:rsidP="00A93F72">
    <w:pPr>
      <w:pStyle w:val="Heading1"/>
      <w:pBdr>
        <w:bottom w:val="single" w:sz="12" w:space="1" w:color="auto"/>
      </w:pBdr>
      <w:spacing w:after="0"/>
      <w:rPr>
        <w:szCs w:val="16"/>
      </w:rPr>
    </w:pPr>
    <w:r w:rsidRPr="00761F94">
      <w:t xml:space="preserve">DCP CONSORTIA </w:t>
    </w:r>
    <w:r>
      <w:t xml:space="preserve">2012 </w:t>
    </w:r>
    <w:r w:rsidRPr="00761F94">
      <w:t>STANDARD OPERATING PROCEDURES</w:t>
    </w:r>
  </w:p>
  <w:p w14:paraId="671D31C6" w14:textId="77777777" w:rsidR="003C3A87" w:rsidRPr="003E5F78" w:rsidRDefault="003C3A87" w:rsidP="00A93F72">
    <w:pPr>
      <w:pStyle w:val="P1-StandPara"/>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F42"/>
    <w:multiLevelType w:val="hybridMultilevel"/>
    <w:tmpl w:val="13CC012E"/>
    <w:lvl w:ilvl="0" w:tplc="B948A3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D74A11"/>
    <w:multiLevelType w:val="hybridMultilevel"/>
    <w:tmpl w:val="1FBCDDB8"/>
    <w:lvl w:ilvl="0" w:tplc="0409000F">
      <w:start w:val="1"/>
      <w:numFmt w:val="decimal"/>
      <w:lvlText w:val="%1."/>
      <w:lvlJc w:val="left"/>
      <w:pPr>
        <w:tabs>
          <w:tab w:val="num" w:pos="810"/>
        </w:tabs>
        <w:ind w:left="810" w:hanging="360"/>
      </w:pPr>
      <w:rPr>
        <w:rFonts w:hint="default"/>
      </w:rPr>
    </w:lvl>
    <w:lvl w:ilvl="1" w:tplc="CF0A6470">
      <w:start w:val="1"/>
      <w:numFmt w:val="lowerLetter"/>
      <w:lvlText w:val="%2."/>
      <w:lvlJc w:val="left"/>
      <w:pPr>
        <w:tabs>
          <w:tab w:val="num" w:pos="1440"/>
        </w:tabs>
        <w:ind w:left="1440" w:hanging="360"/>
      </w:pPr>
      <w:rPr>
        <w:rFonts w:ascii="Times New Roman" w:eastAsia="Times New Roman" w:hAnsi="Times New Roman"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5022B"/>
    <w:multiLevelType w:val="hybridMultilevel"/>
    <w:tmpl w:val="7D9C54F4"/>
    <w:lvl w:ilvl="0" w:tplc="A48400A2">
      <w:start w:val="1"/>
      <w:numFmt w:val="decimal"/>
      <w:lvlText w:val="%1."/>
      <w:lvlJc w:val="left"/>
      <w:pPr>
        <w:tabs>
          <w:tab w:val="num" w:pos="1440"/>
        </w:tabs>
        <w:ind w:left="1440" w:hanging="360"/>
      </w:pPr>
      <w:rPr>
        <w:rFonts w:hint="default"/>
        <w:b w:val="0"/>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0E1FEE"/>
    <w:multiLevelType w:val="hybridMultilevel"/>
    <w:tmpl w:val="3A32D8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0E701844"/>
    <w:multiLevelType w:val="hybridMultilevel"/>
    <w:tmpl w:val="35F2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1EE2"/>
    <w:multiLevelType w:val="hybridMultilevel"/>
    <w:tmpl w:val="E7C6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C03196"/>
    <w:multiLevelType w:val="hybridMultilevel"/>
    <w:tmpl w:val="29C6E6E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15:restartNumberingAfterBreak="0">
    <w:nsid w:val="19A91F4B"/>
    <w:multiLevelType w:val="hybridMultilevel"/>
    <w:tmpl w:val="0CA0A952"/>
    <w:lvl w:ilvl="0" w:tplc="1A04895E">
      <w:start w:val="1"/>
      <w:numFmt w:val="upperLetter"/>
      <w:pStyle w:val="Heading3"/>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C6F7230"/>
    <w:multiLevelType w:val="hybridMultilevel"/>
    <w:tmpl w:val="DB2CA328"/>
    <w:lvl w:ilvl="0" w:tplc="7C2E92F8">
      <w:start w:val="1"/>
      <w:numFmt w:val="bullet"/>
      <w:lvlText w:val=""/>
      <w:lvlJc w:val="left"/>
      <w:pPr>
        <w:tabs>
          <w:tab w:val="num" w:pos="432"/>
        </w:tabs>
        <w:ind w:left="-2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B50DC"/>
    <w:multiLevelType w:val="hybridMultilevel"/>
    <w:tmpl w:val="9B4E981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4EA6D61"/>
    <w:multiLevelType w:val="hybridMultilevel"/>
    <w:tmpl w:val="F3661494"/>
    <w:lvl w:ilvl="0" w:tplc="C0BA2824">
      <w:start w:val="4"/>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AD1689"/>
    <w:multiLevelType w:val="hybridMultilevel"/>
    <w:tmpl w:val="87F2F0E6"/>
    <w:lvl w:ilvl="0" w:tplc="CABC2B32">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C24BF0"/>
    <w:multiLevelType w:val="hybridMultilevel"/>
    <w:tmpl w:val="12CCA4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CF54B4"/>
    <w:multiLevelType w:val="multilevel"/>
    <w:tmpl w:val="AA0ACE46"/>
    <w:lvl w:ilvl="0">
      <w:start w:val="4"/>
      <w:numFmt w:val="decimal"/>
      <w:lvlText w:val="%1."/>
      <w:lvlJc w:val="left"/>
      <w:pPr>
        <w:ind w:left="1080" w:hanging="360"/>
      </w:pPr>
      <w:rPr>
        <w:rFonts w:hint="default"/>
      </w:rPr>
    </w:lvl>
    <w:lvl w:ilvl="1">
      <w:start w:val="1"/>
      <w:numFmt w:val="decimal"/>
      <w:isLgl/>
      <w:lvlText w:val="%1.%2"/>
      <w:lvlJc w:val="left"/>
      <w:pPr>
        <w:ind w:left="1980" w:hanging="54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4" w15:restartNumberingAfterBreak="0">
    <w:nsid w:val="297F31C9"/>
    <w:multiLevelType w:val="hybridMultilevel"/>
    <w:tmpl w:val="E528EC26"/>
    <w:lvl w:ilvl="0" w:tplc="0920767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4875B4"/>
    <w:multiLevelType w:val="hybridMultilevel"/>
    <w:tmpl w:val="84342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C9A4F72"/>
    <w:multiLevelType w:val="hybridMultilevel"/>
    <w:tmpl w:val="A2B2F1B8"/>
    <w:lvl w:ilvl="0" w:tplc="E7B6F056">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15:restartNumberingAfterBreak="0">
    <w:nsid w:val="33296FB8"/>
    <w:multiLevelType w:val="hybridMultilevel"/>
    <w:tmpl w:val="6AC0CF5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6DB1C4F"/>
    <w:multiLevelType w:val="hybridMultilevel"/>
    <w:tmpl w:val="7D9C54F4"/>
    <w:lvl w:ilvl="0" w:tplc="A48400A2">
      <w:start w:val="1"/>
      <w:numFmt w:val="decimal"/>
      <w:lvlText w:val="%1."/>
      <w:lvlJc w:val="left"/>
      <w:pPr>
        <w:tabs>
          <w:tab w:val="num" w:pos="1440"/>
        </w:tabs>
        <w:ind w:left="1440" w:hanging="360"/>
      </w:pPr>
      <w:rPr>
        <w:rFonts w:hint="default"/>
        <w:b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8C93D95"/>
    <w:multiLevelType w:val="hybridMultilevel"/>
    <w:tmpl w:val="54861EE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DB18BC42">
      <w:start w:val="1"/>
      <w:numFmt w:val="decimal"/>
      <w:lvlText w:val="%4."/>
      <w:lvlJc w:val="left"/>
      <w:pPr>
        <w:ind w:left="2880" w:hanging="360"/>
      </w:pPr>
      <w:rPr>
        <w:rFonts w:hint="default"/>
      </w:rPr>
    </w:lvl>
    <w:lvl w:ilvl="4" w:tplc="437E9B02">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46702"/>
    <w:multiLevelType w:val="hybridMultilevel"/>
    <w:tmpl w:val="1BF621BE"/>
    <w:lvl w:ilvl="0" w:tplc="9B1C0B36">
      <w:start w:val="5"/>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E25A1B"/>
    <w:multiLevelType w:val="hybridMultilevel"/>
    <w:tmpl w:val="4EB84870"/>
    <w:lvl w:ilvl="0" w:tplc="0E4CBF5A">
      <w:start w:val="3"/>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4E132B"/>
    <w:multiLevelType w:val="hybridMultilevel"/>
    <w:tmpl w:val="1C900F28"/>
    <w:lvl w:ilvl="0" w:tplc="08BC827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3E835C8C"/>
    <w:multiLevelType w:val="multilevel"/>
    <w:tmpl w:val="66B80D9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421032B7"/>
    <w:multiLevelType w:val="hybridMultilevel"/>
    <w:tmpl w:val="B824C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BC57B3"/>
    <w:multiLevelType w:val="hybridMultilevel"/>
    <w:tmpl w:val="49F2159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A5618AB"/>
    <w:multiLevelType w:val="hybridMultilevel"/>
    <w:tmpl w:val="2A021D2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E4D30F9"/>
    <w:multiLevelType w:val="hybridMultilevel"/>
    <w:tmpl w:val="D930C2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07E2CF4"/>
    <w:multiLevelType w:val="hybridMultilevel"/>
    <w:tmpl w:val="6F66F52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13C"/>
    <w:multiLevelType w:val="multilevel"/>
    <w:tmpl w:val="87B21C34"/>
    <w:lvl w:ilvl="0">
      <w:start w:val="3"/>
      <w:numFmt w:val="decimal"/>
      <w:lvlText w:val="%1"/>
      <w:lvlJc w:val="left"/>
      <w:pPr>
        <w:ind w:left="360" w:hanging="360"/>
      </w:pPr>
      <w:rPr>
        <w:rFonts w:hint="default"/>
      </w:rPr>
    </w:lvl>
    <w:lvl w:ilvl="1">
      <w:start w:val="1"/>
      <w:numFmt w:val="decimal"/>
      <w:lvlText w:val="%2."/>
      <w:lvlJc w:val="left"/>
      <w:pPr>
        <w:ind w:left="1872" w:hanging="360"/>
      </w:pPr>
      <w:rPr>
        <w:rFonts w:hint="default"/>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351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536" w:hanging="1440"/>
      </w:pPr>
      <w:rPr>
        <w:rFonts w:hint="default"/>
      </w:rPr>
    </w:lvl>
  </w:abstractNum>
  <w:abstractNum w:abstractNumId="31" w15:restartNumberingAfterBreak="0">
    <w:nsid w:val="54685A9C"/>
    <w:multiLevelType w:val="hybridMultilevel"/>
    <w:tmpl w:val="0E484B90"/>
    <w:lvl w:ilvl="0" w:tplc="0409000F">
      <w:start w:val="1"/>
      <w:numFmt w:val="decimal"/>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979D5"/>
    <w:multiLevelType w:val="hybridMultilevel"/>
    <w:tmpl w:val="67F0E5A4"/>
    <w:lvl w:ilvl="0" w:tplc="04090017">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17">
      <w:start w:val="1"/>
      <w:numFmt w:val="lowerLetter"/>
      <w:lvlText w:val="%4)"/>
      <w:lvlJc w:val="left"/>
      <w:pPr>
        <w:ind w:left="3600" w:hanging="360"/>
      </w:pPr>
      <w:rPr>
        <w:rFonts w:cs="Times New Roman"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08404F"/>
    <w:multiLevelType w:val="singleLevel"/>
    <w:tmpl w:val="36B0639C"/>
    <w:lvl w:ilvl="0">
      <w:start w:val="1"/>
      <w:numFmt w:val="upperRoman"/>
      <w:pStyle w:val="Heading9"/>
      <w:lvlText w:val="%1."/>
      <w:lvlJc w:val="left"/>
      <w:pPr>
        <w:tabs>
          <w:tab w:val="num" w:pos="720"/>
        </w:tabs>
        <w:ind w:left="720" w:hanging="720"/>
      </w:pPr>
      <w:rPr>
        <w:rFonts w:cs="Times New Roman"/>
      </w:rPr>
    </w:lvl>
  </w:abstractNum>
  <w:abstractNum w:abstractNumId="34" w15:restartNumberingAfterBreak="0">
    <w:nsid w:val="5DA96492"/>
    <w:multiLevelType w:val="hybridMultilevel"/>
    <w:tmpl w:val="FF48325C"/>
    <w:lvl w:ilvl="0" w:tplc="CB12038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DF713C1"/>
    <w:multiLevelType w:val="hybridMultilevel"/>
    <w:tmpl w:val="8F4E4C6E"/>
    <w:lvl w:ilvl="0" w:tplc="F5E602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D170A9"/>
    <w:multiLevelType w:val="hybridMultilevel"/>
    <w:tmpl w:val="42203E4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13A2A2A"/>
    <w:multiLevelType w:val="hybridMultilevel"/>
    <w:tmpl w:val="430A4222"/>
    <w:lvl w:ilvl="0" w:tplc="7152F78E">
      <w:start w:val="1"/>
      <w:numFmt w:val="decimal"/>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50D74CE"/>
    <w:multiLevelType w:val="hybridMultilevel"/>
    <w:tmpl w:val="C4AEBB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D9769E"/>
    <w:multiLevelType w:val="hybridMultilevel"/>
    <w:tmpl w:val="B38C932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6FA4058"/>
    <w:multiLevelType w:val="hybridMultilevel"/>
    <w:tmpl w:val="130E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946B6D"/>
    <w:multiLevelType w:val="hybridMultilevel"/>
    <w:tmpl w:val="8FAC654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8210F0B"/>
    <w:multiLevelType w:val="hybridMultilevel"/>
    <w:tmpl w:val="7A7C7830"/>
    <w:lvl w:ilvl="0" w:tplc="08BC827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6A7F5215"/>
    <w:multiLevelType w:val="hybridMultilevel"/>
    <w:tmpl w:val="8580F6E0"/>
    <w:lvl w:ilvl="0" w:tplc="0409000F">
      <w:start w:val="1"/>
      <w:numFmt w:val="decimal"/>
      <w:lvlText w:val="%1."/>
      <w:lvlJc w:val="left"/>
      <w:pPr>
        <w:ind w:left="22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732104"/>
    <w:multiLevelType w:val="hybridMultilevel"/>
    <w:tmpl w:val="BF6E99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375D2"/>
    <w:multiLevelType w:val="multilevel"/>
    <w:tmpl w:val="F9E8CBA6"/>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46" w15:restartNumberingAfterBreak="0">
    <w:nsid w:val="727708C2"/>
    <w:multiLevelType w:val="hybridMultilevel"/>
    <w:tmpl w:val="26BAF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15:restartNumberingAfterBreak="0">
    <w:nsid w:val="74E82F94"/>
    <w:multiLevelType w:val="hybridMultilevel"/>
    <w:tmpl w:val="0ED8B82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5552038"/>
    <w:multiLevelType w:val="hybridMultilevel"/>
    <w:tmpl w:val="11E0142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236479"/>
    <w:multiLevelType w:val="hybridMultilevel"/>
    <w:tmpl w:val="7E70E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0" w15:restartNumberingAfterBreak="0">
    <w:nsid w:val="79AE6249"/>
    <w:multiLevelType w:val="multilevel"/>
    <w:tmpl w:val="897826DC"/>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num w:numId="1">
    <w:abstractNumId w:val="17"/>
  </w:num>
  <w:num w:numId="2">
    <w:abstractNumId w:val="33"/>
  </w:num>
  <w:num w:numId="3">
    <w:abstractNumId w:val="32"/>
  </w:num>
  <w:num w:numId="4">
    <w:abstractNumId w:val="31"/>
  </w:num>
  <w:num w:numId="5">
    <w:abstractNumId w:val="7"/>
  </w:num>
  <w:num w:numId="6">
    <w:abstractNumId w:val="27"/>
  </w:num>
  <w:num w:numId="7">
    <w:abstractNumId w:val="34"/>
  </w:num>
  <w:num w:numId="8">
    <w:abstractNumId w:val="9"/>
  </w:num>
  <w:num w:numId="9">
    <w:abstractNumId w:val="16"/>
  </w:num>
  <w:num w:numId="10">
    <w:abstractNumId w:val="47"/>
  </w:num>
  <w:num w:numId="11">
    <w:abstractNumId w:val="18"/>
  </w:num>
  <w:num w:numId="12">
    <w:abstractNumId w:val="10"/>
  </w:num>
  <w:num w:numId="13">
    <w:abstractNumId w:val="22"/>
  </w:num>
  <w:num w:numId="14">
    <w:abstractNumId w:val="39"/>
  </w:num>
  <w:num w:numId="15">
    <w:abstractNumId w:val="37"/>
  </w:num>
  <w:num w:numId="16">
    <w:abstractNumId w:val="12"/>
  </w:num>
  <w:num w:numId="17">
    <w:abstractNumId w:val="36"/>
  </w:num>
  <w:num w:numId="18">
    <w:abstractNumId w:val="1"/>
  </w:num>
  <w:num w:numId="19">
    <w:abstractNumId w:val="2"/>
  </w:num>
  <w:num w:numId="20">
    <w:abstractNumId w:val="41"/>
  </w:num>
  <w:num w:numId="21">
    <w:abstractNumId w:val="19"/>
  </w:num>
  <w:num w:numId="22">
    <w:abstractNumId w:val="14"/>
  </w:num>
  <w:num w:numId="23">
    <w:abstractNumId w:val="45"/>
  </w:num>
  <w:num w:numId="24">
    <w:abstractNumId w:val="40"/>
  </w:num>
  <w:num w:numId="25">
    <w:abstractNumId w:val="35"/>
  </w:num>
  <w:num w:numId="26">
    <w:abstractNumId w:val="44"/>
  </w:num>
  <w:num w:numId="27">
    <w:abstractNumId w:val="8"/>
  </w:num>
  <w:num w:numId="28">
    <w:abstractNumId w:val="20"/>
  </w:num>
  <w:num w:numId="29">
    <w:abstractNumId w:val="11"/>
  </w:num>
  <w:num w:numId="30">
    <w:abstractNumId w:val="28"/>
  </w:num>
  <w:num w:numId="31">
    <w:abstractNumId w:val="48"/>
  </w:num>
  <w:num w:numId="32">
    <w:abstractNumId w:val="50"/>
  </w:num>
  <w:num w:numId="33">
    <w:abstractNumId w:val="30"/>
  </w:num>
  <w:num w:numId="34">
    <w:abstractNumId w:val="24"/>
  </w:num>
  <w:num w:numId="35">
    <w:abstractNumId w:val="0"/>
  </w:num>
  <w:num w:numId="36">
    <w:abstractNumId w:val="13"/>
  </w:num>
  <w:num w:numId="37">
    <w:abstractNumId w:val="21"/>
  </w:num>
  <w:num w:numId="38">
    <w:abstractNumId w:val="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43"/>
  </w:num>
  <w:num w:numId="42">
    <w:abstractNumId w:val="49"/>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2"/>
  </w:num>
  <w:num w:numId="46">
    <w:abstractNumId w:val="23"/>
  </w:num>
  <w:num w:numId="47">
    <w:abstractNumId w:val="4"/>
  </w:num>
  <w:num w:numId="48">
    <w:abstractNumId w:val="29"/>
  </w:num>
  <w:num w:numId="49">
    <w:abstractNumId w:val="5"/>
  </w:num>
  <w:num w:numId="50">
    <w:abstractNumId w:val="25"/>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C0"/>
    <w:rsid w:val="00003CD8"/>
    <w:rsid w:val="00006E96"/>
    <w:rsid w:val="00007110"/>
    <w:rsid w:val="00010B2D"/>
    <w:rsid w:val="0001111E"/>
    <w:rsid w:val="00011423"/>
    <w:rsid w:val="00017374"/>
    <w:rsid w:val="000176C0"/>
    <w:rsid w:val="00017E02"/>
    <w:rsid w:val="000203DE"/>
    <w:rsid w:val="00021E85"/>
    <w:rsid w:val="00023635"/>
    <w:rsid w:val="00023CD0"/>
    <w:rsid w:val="0003133F"/>
    <w:rsid w:val="00031C6C"/>
    <w:rsid w:val="00034BE9"/>
    <w:rsid w:val="00035E8F"/>
    <w:rsid w:val="00036E22"/>
    <w:rsid w:val="000412B3"/>
    <w:rsid w:val="00041740"/>
    <w:rsid w:val="00043AA7"/>
    <w:rsid w:val="0004404D"/>
    <w:rsid w:val="00045BCF"/>
    <w:rsid w:val="00045DED"/>
    <w:rsid w:val="0004635B"/>
    <w:rsid w:val="000474F7"/>
    <w:rsid w:val="00053B99"/>
    <w:rsid w:val="000546C1"/>
    <w:rsid w:val="00061D51"/>
    <w:rsid w:val="00062736"/>
    <w:rsid w:val="00065C1D"/>
    <w:rsid w:val="00067F73"/>
    <w:rsid w:val="00073C9C"/>
    <w:rsid w:val="00074ACF"/>
    <w:rsid w:val="00076003"/>
    <w:rsid w:val="000761A1"/>
    <w:rsid w:val="000766DA"/>
    <w:rsid w:val="00081EA6"/>
    <w:rsid w:val="0008593A"/>
    <w:rsid w:val="00090554"/>
    <w:rsid w:val="00090CA2"/>
    <w:rsid w:val="00091CB6"/>
    <w:rsid w:val="00092553"/>
    <w:rsid w:val="00097B83"/>
    <w:rsid w:val="000A354A"/>
    <w:rsid w:val="000A52D2"/>
    <w:rsid w:val="000A7956"/>
    <w:rsid w:val="000A7983"/>
    <w:rsid w:val="000A7F5D"/>
    <w:rsid w:val="000B05D4"/>
    <w:rsid w:val="000C3814"/>
    <w:rsid w:val="000C51E5"/>
    <w:rsid w:val="000C5220"/>
    <w:rsid w:val="000C6C36"/>
    <w:rsid w:val="000D00E3"/>
    <w:rsid w:val="000D7019"/>
    <w:rsid w:val="000E34DC"/>
    <w:rsid w:val="000E4542"/>
    <w:rsid w:val="000E4C0E"/>
    <w:rsid w:val="000E6B71"/>
    <w:rsid w:val="000F36BB"/>
    <w:rsid w:val="000F385D"/>
    <w:rsid w:val="000F4AB7"/>
    <w:rsid w:val="000F6D06"/>
    <w:rsid w:val="000F7D34"/>
    <w:rsid w:val="00100CD2"/>
    <w:rsid w:val="00100FEE"/>
    <w:rsid w:val="001058D0"/>
    <w:rsid w:val="00106514"/>
    <w:rsid w:val="001128D4"/>
    <w:rsid w:val="001162F9"/>
    <w:rsid w:val="00120AD7"/>
    <w:rsid w:val="00120CF4"/>
    <w:rsid w:val="00123E39"/>
    <w:rsid w:val="00125742"/>
    <w:rsid w:val="00126A94"/>
    <w:rsid w:val="00127891"/>
    <w:rsid w:val="00131791"/>
    <w:rsid w:val="00136F0A"/>
    <w:rsid w:val="00140293"/>
    <w:rsid w:val="00145B36"/>
    <w:rsid w:val="001569D9"/>
    <w:rsid w:val="00161CA5"/>
    <w:rsid w:val="00176489"/>
    <w:rsid w:val="001769A7"/>
    <w:rsid w:val="00176C9F"/>
    <w:rsid w:val="00176CCD"/>
    <w:rsid w:val="001827F4"/>
    <w:rsid w:val="001854E7"/>
    <w:rsid w:val="001862FA"/>
    <w:rsid w:val="001879E7"/>
    <w:rsid w:val="00197F42"/>
    <w:rsid w:val="001A2110"/>
    <w:rsid w:val="001A2F00"/>
    <w:rsid w:val="001A56F1"/>
    <w:rsid w:val="001A5BC2"/>
    <w:rsid w:val="001A65E4"/>
    <w:rsid w:val="001A7D1B"/>
    <w:rsid w:val="001B4496"/>
    <w:rsid w:val="001C0770"/>
    <w:rsid w:val="001C1C5E"/>
    <w:rsid w:val="001C27EB"/>
    <w:rsid w:val="001C3689"/>
    <w:rsid w:val="001C395E"/>
    <w:rsid w:val="001C415A"/>
    <w:rsid w:val="001C5671"/>
    <w:rsid w:val="001C5E2B"/>
    <w:rsid w:val="001C6DE6"/>
    <w:rsid w:val="001D0AF3"/>
    <w:rsid w:val="001D4746"/>
    <w:rsid w:val="001D68C0"/>
    <w:rsid w:val="001E14FF"/>
    <w:rsid w:val="001E24E6"/>
    <w:rsid w:val="001E7AD0"/>
    <w:rsid w:val="001F08A8"/>
    <w:rsid w:val="001F1B49"/>
    <w:rsid w:val="001F4673"/>
    <w:rsid w:val="001F4ED0"/>
    <w:rsid w:val="001F793A"/>
    <w:rsid w:val="00200338"/>
    <w:rsid w:val="002007D5"/>
    <w:rsid w:val="00203958"/>
    <w:rsid w:val="00205723"/>
    <w:rsid w:val="002059AA"/>
    <w:rsid w:val="00205B2F"/>
    <w:rsid w:val="002064F2"/>
    <w:rsid w:val="002123F2"/>
    <w:rsid w:val="00212DA4"/>
    <w:rsid w:val="002134D3"/>
    <w:rsid w:val="0021403B"/>
    <w:rsid w:val="00216F9D"/>
    <w:rsid w:val="00217963"/>
    <w:rsid w:val="002260D0"/>
    <w:rsid w:val="00226456"/>
    <w:rsid w:val="0022686F"/>
    <w:rsid w:val="00227EBF"/>
    <w:rsid w:val="00233574"/>
    <w:rsid w:val="002400B4"/>
    <w:rsid w:val="00244335"/>
    <w:rsid w:val="00245FCC"/>
    <w:rsid w:val="00247BDE"/>
    <w:rsid w:val="002545F4"/>
    <w:rsid w:val="00263491"/>
    <w:rsid w:val="00265FC6"/>
    <w:rsid w:val="002663BC"/>
    <w:rsid w:val="002710E0"/>
    <w:rsid w:val="002719C9"/>
    <w:rsid w:val="00286F38"/>
    <w:rsid w:val="0028788C"/>
    <w:rsid w:val="002905E6"/>
    <w:rsid w:val="00290E5F"/>
    <w:rsid w:val="002914EF"/>
    <w:rsid w:val="00291D1B"/>
    <w:rsid w:val="00292C23"/>
    <w:rsid w:val="00294435"/>
    <w:rsid w:val="002A1678"/>
    <w:rsid w:val="002A31F3"/>
    <w:rsid w:val="002A3C47"/>
    <w:rsid w:val="002A41DC"/>
    <w:rsid w:val="002A6083"/>
    <w:rsid w:val="002A63FD"/>
    <w:rsid w:val="002A64B8"/>
    <w:rsid w:val="002A69E4"/>
    <w:rsid w:val="002A6BAE"/>
    <w:rsid w:val="002B25D3"/>
    <w:rsid w:val="002B2B21"/>
    <w:rsid w:val="002B315F"/>
    <w:rsid w:val="002B7AAF"/>
    <w:rsid w:val="002D1A12"/>
    <w:rsid w:val="002E108C"/>
    <w:rsid w:val="002E20C7"/>
    <w:rsid w:val="002E2D8A"/>
    <w:rsid w:val="002E3571"/>
    <w:rsid w:val="002E38B5"/>
    <w:rsid w:val="002E7DC0"/>
    <w:rsid w:val="002F3445"/>
    <w:rsid w:val="00302D23"/>
    <w:rsid w:val="00302E8F"/>
    <w:rsid w:val="00304EF8"/>
    <w:rsid w:val="00311A4C"/>
    <w:rsid w:val="0031354F"/>
    <w:rsid w:val="003150B2"/>
    <w:rsid w:val="00325B53"/>
    <w:rsid w:val="00326886"/>
    <w:rsid w:val="00330697"/>
    <w:rsid w:val="003330C1"/>
    <w:rsid w:val="003332EE"/>
    <w:rsid w:val="00335049"/>
    <w:rsid w:val="0033715A"/>
    <w:rsid w:val="00340249"/>
    <w:rsid w:val="00340BDA"/>
    <w:rsid w:val="00341D47"/>
    <w:rsid w:val="00342F5E"/>
    <w:rsid w:val="00344760"/>
    <w:rsid w:val="003451B0"/>
    <w:rsid w:val="0034572E"/>
    <w:rsid w:val="00345CE8"/>
    <w:rsid w:val="00355020"/>
    <w:rsid w:val="003672D0"/>
    <w:rsid w:val="00367C47"/>
    <w:rsid w:val="00372703"/>
    <w:rsid w:val="00375C6C"/>
    <w:rsid w:val="00383584"/>
    <w:rsid w:val="00391BF3"/>
    <w:rsid w:val="003B4248"/>
    <w:rsid w:val="003B42B2"/>
    <w:rsid w:val="003B4B53"/>
    <w:rsid w:val="003B500D"/>
    <w:rsid w:val="003B5644"/>
    <w:rsid w:val="003B6CE5"/>
    <w:rsid w:val="003C3A87"/>
    <w:rsid w:val="003C6FF0"/>
    <w:rsid w:val="003D1ADA"/>
    <w:rsid w:val="003D1BE3"/>
    <w:rsid w:val="003D1CB8"/>
    <w:rsid w:val="003D7D05"/>
    <w:rsid w:val="003E0B20"/>
    <w:rsid w:val="003E0D8A"/>
    <w:rsid w:val="003E4421"/>
    <w:rsid w:val="003E57B6"/>
    <w:rsid w:val="003E5C28"/>
    <w:rsid w:val="003E5F78"/>
    <w:rsid w:val="003F03C0"/>
    <w:rsid w:val="003F1B9D"/>
    <w:rsid w:val="003F3B36"/>
    <w:rsid w:val="003F5DD4"/>
    <w:rsid w:val="0040652F"/>
    <w:rsid w:val="004065A6"/>
    <w:rsid w:val="004121A8"/>
    <w:rsid w:val="00412253"/>
    <w:rsid w:val="0041275A"/>
    <w:rsid w:val="00417604"/>
    <w:rsid w:val="0042075B"/>
    <w:rsid w:val="0042662C"/>
    <w:rsid w:val="00426D03"/>
    <w:rsid w:val="00427052"/>
    <w:rsid w:val="004328D1"/>
    <w:rsid w:val="0043330E"/>
    <w:rsid w:val="004432FA"/>
    <w:rsid w:val="00444FAE"/>
    <w:rsid w:val="00445C0F"/>
    <w:rsid w:val="0044661B"/>
    <w:rsid w:val="004466DC"/>
    <w:rsid w:val="0044711D"/>
    <w:rsid w:val="00450A04"/>
    <w:rsid w:val="0045397A"/>
    <w:rsid w:val="00453EA0"/>
    <w:rsid w:val="00455A21"/>
    <w:rsid w:val="00457B43"/>
    <w:rsid w:val="00460ED5"/>
    <w:rsid w:val="004626EF"/>
    <w:rsid w:val="00467647"/>
    <w:rsid w:val="0047138E"/>
    <w:rsid w:val="00472A05"/>
    <w:rsid w:val="004825B2"/>
    <w:rsid w:val="004841D1"/>
    <w:rsid w:val="00484F4E"/>
    <w:rsid w:val="0048720D"/>
    <w:rsid w:val="00487E66"/>
    <w:rsid w:val="00495B05"/>
    <w:rsid w:val="00495C57"/>
    <w:rsid w:val="00497DD5"/>
    <w:rsid w:val="004A2066"/>
    <w:rsid w:val="004A60FF"/>
    <w:rsid w:val="004A76D5"/>
    <w:rsid w:val="004B2C22"/>
    <w:rsid w:val="004B6157"/>
    <w:rsid w:val="004B78A6"/>
    <w:rsid w:val="004C01DE"/>
    <w:rsid w:val="004C13F5"/>
    <w:rsid w:val="004C24DD"/>
    <w:rsid w:val="004C2E12"/>
    <w:rsid w:val="004C34BA"/>
    <w:rsid w:val="004C4F96"/>
    <w:rsid w:val="004D11D3"/>
    <w:rsid w:val="004D1D93"/>
    <w:rsid w:val="004D23EC"/>
    <w:rsid w:val="004D35A4"/>
    <w:rsid w:val="004D76D6"/>
    <w:rsid w:val="004E1AF8"/>
    <w:rsid w:val="0050128F"/>
    <w:rsid w:val="005073CD"/>
    <w:rsid w:val="00510C75"/>
    <w:rsid w:val="005121B2"/>
    <w:rsid w:val="005124FD"/>
    <w:rsid w:val="005132B2"/>
    <w:rsid w:val="00513B7F"/>
    <w:rsid w:val="00515C27"/>
    <w:rsid w:val="00522C5C"/>
    <w:rsid w:val="00525350"/>
    <w:rsid w:val="00526181"/>
    <w:rsid w:val="00526BDC"/>
    <w:rsid w:val="00531331"/>
    <w:rsid w:val="00531D22"/>
    <w:rsid w:val="00533CDA"/>
    <w:rsid w:val="00536D9E"/>
    <w:rsid w:val="00537751"/>
    <w:rsid w:val="005410A2"/>
    <w:rsid w:val="005431E7"/>
    <w:rsid w:val="005474B6"/>
    <w:rsid w:val="00557E00"/>
    <w:rsid w:val="0056124F"/>
    <w:rsid w:val="00564D43"/>
    <w:rsid w:val="00566573"/>
    <w:rsid w:val="005672D4"/>
    <w:rsid w:val="00570E24"/>
    <w:rsid w:val="00574AAB"/>
    <w:rsid w:val="00575B85"/>
    <w:rsid w:val="005834B3"/>
    <w:rsid w:val="005842EB"/>
    <w:rsid w:val="00585C0F"/>
    <w:rsid w:val="005866AA"/>
    <w:rsid w:val="005869F2"/>
    <w:rsid w:val="0059054F"/>
    <w:rsid w:val="0059204D"/>
    <w:rsid w:val="00595C7C"/>
    <w:rsid w:val="00597B99"/>
    <w:rsid w:val="005A0532"/>
    <w:rsid w:val="005A0D20"/>
    <w:rsid w:val="005A16D8"/>
    <w:rsid w:val="005A3BB0"/>
    <w:rsid w:val="005A4294"/>
    <w:rsid w:val="005A7B7D"/>
    <w:rsid w:val="005B1604"/>
    <w:rsid w:val="005B24A4"/>
    <w:rsid w:val="005B40D7"/>
    <w:rsid w:val="005C0690"/>
    <w:rsid w:val="005C245D"/>
    <w:rsid w:val="005C4EE7"/>
    <w:rsid w:val="005C5D21"/>
    <w:rsid w:val="005C671C"/>
    <w:rsid w:val="005C720F"/>
    <w:rsid w:val="005D3A99"/>
    <w:rsid w:val="005D607B"/>
    <w:rsid w:val="005D6263"/>
    <w:rsid w:val="005E0F02"/>
    <w:rsid w:val="005E3DCB"/>
    <w:rsid w:val="005E474A"/>
    <w:rsid w:val="005E491F"/>
    <w:rsid w:val="005E7AD9"/>
    <w:rsid w:val="005F103B"/>
    <w:rsid w:val="005F31DB"/>
    <w:rsid w:val="005F47F2"/>
    <w:rsid w:val="005F70C2"/>
    <w:rsid w:val="006034A0"/>
    <w:rsid w:val="00606D6E"/>
    <w:rsid w:val="00606E54"/>
    <w:rsid w:val="006113F0"/>
    <w:rsid w:val="00612541"/>
    <w:rsid w:val="00613367"/>
    <w:rsid w:val="00614E40"/>
    <w:rsid w:val="0061640C"/>
    <w:rsid w:val="00622DD1"/>
    <w:rsid w:val="0062312D"/>
    <w:rsid w:val="0063164D"/>
    <w:rsid w:val="00631EF3"/>
    <w:rsid w:val="0063377C"/>
    <w:rsid w:val="00634051"/>
    <w:rsid w:val="00636034"/>
    <w:rsid w:val="00636375"/>
    <w:rsid w:val="0064085C"/>
    <w:rsid w:val="006455BB"/>
    <w:rsid w:val="006460DB"/>
    <w:rsid w:val="00646C49"/>
    <w:rsid w:val="00647ECB"/>
    <w:rsid w:val="00650D74"/>
    <w:rsid w:val="006515CA"/>
    <w:rsid w:val="00651B24"/>
    <w:rsid w:val="00651ED5"/>
    <w:rsid w:val="00656DB5"/>
    <w:rsid w:val="00661E9F"/>
    <w:rsid w:val="0066223C"/>
    <w:rsid w:val="00663AD5"/>
    <w:rsid w:val="006654FB"/>
    <w:rsid w:val="00665571"/>
    <w:rsid w:val="006666BA"/>
    <w:rsid w:val="00666C8F"/>
    <w:rsid w:val="00666D80"/>
    <w:rsid w:val="00667008"/>
    <w:rsid w:val="00670B97"/>
    <w:rsid w:val="00670F2E"/>
    <w:rsid w:val="0067228A"/>
    <w:rsid w:val="00673587"/>
    <w:rsid w:val="00674ADC"/>
    <w:rsid w:val="006758A0"/>
    <w:rsid w:val="0068245B"/>
    <w:rsid w:val="00683C17"/>
    <w:rsid w:val="006869F2"/>
    <w:rsid w:val="00686B7A"/>
    <w:rsid w:val="00687167"/>
    <w:rsid w:val="006911B4"/>
    <w:rsid w:val="00694CB2"/>
    <w:rsid w:val="006A17C0"/>
    <w:rsid w:val="006A31D4"/>
    <w:rsid w:val="006A3BC5"/>
    <w:rsid w:val="006A536E"/>
    <w:rsid w:val="006A568A"/>
    <w:rsid w:val="006A5BF6"/>
    <w:rsid w:val="006A69E5"/>
    <w:rsid w:val="006A72A8"/>
    <w:rsid w:val="006A76EE"/>
    <w:rsid w:val="006B38AE"/>
    <w:rsid w:val="006B5DD8"/>
    <w:rsid w:val="006B68BB"/>
    <w:rsid w:val="006C1731"/>
    <w:rsid w:val="006C19EA"/>
    <w:rsid w:val="006C2C0A"/>
    <w:rsid w:val="006C59EB"/>
    <w:rsid w:val="006C7910"/>
    <w:rsid w:val="006D0397"/>
    <w:rsid w:val="006D2A41"/>
    <w:rsid w:val="006D5287"/>
    <w:rsid w:val="006E379F"/>
    <w:rsid w:val="006E3CF7"/>
    <w:rsid w:val="006E4CE4"/>
    <w:rsid w:val="006F0AAD"/>
    <w:rsid w:val="006F117C"/>
    <w:rsid w:val="006F1ED9"/>
    <w:rsid w:val="006F48F8"/>
    <w:rsid w:val="006F68AC"/>
    <w:rsid w:val="006F7A95"/>
    <w:rsid w:val="007030B7"/>
    <w:rsid w:val="00712FA9"/>
    <w:rsid w:val="0071544F"/>
    <w:rsid w:val="0071546D"/>
    <w:rsid w:val="00716ADA"/>
    <w:rsid w:val="00717689"/>
    <w:rsid w:val="00717B39"/>
    <w:rsid w:val="00720532"/>
    <w:rsid w:val="0072301F"/>
    <w:rsid w:val="007244E7"/>
    <w:rsid w:val="007248AF"/>
    <w:rsid w:val="00736EE6"/>
    <w:rsid w:val="007375A4"/>
    <w:rsid w:val="00740F37"/>
    <w:rsid w:val="0074433D"/>
    <w:rsid w:val="0074446D"/>
    <w:rsid w:val="00745DAE"/>
    <w:rsid w:val="007506BE"/>
    <w:rsid w:val="00753A34"/>
    <w:rsid w:val="0076096A"/>
    <w:rsid w:val="00761F94"/>
    <w:rsid w:val="0076210B"/>
    <w:rsid w:val="00765116"/>
    <w:rsid w:val="007656D4"/>
    <w:rsid w:val="00767F85"/>
    <w:rsid w:val="007754A3"/>
    <w:rsid w:val="0078071C"/>
    <w:rsid w:val="00781862"/>
    <w:rsid w:val="0078209F"/>
    <w:rsid w:val="0078258B"/>
    <w:rsid w:val="00786E85"/>
    <w:rsid w:val="0078770A"/>
    <w:rsid w:val="007919A2"/>
    <w:rsid w:val="00794051"/>
    <w:rsid w:val="00795C6E"/>
    <w:rsid w:val="00796702"/>
    <w:rsid w:val="007A2593"/>
    <w:rsid w:val="007A5497"/>
    <w:rsid w:val="007A743E"/>
    <w:rsid w:val="007B1E6F"/>
    <w:rsid w:val="007B430F"/>
    <w:rsid w:val="007B5432"/>
    <w:rsid w:val="007B5C0E"/>
    <w:rsid w:val="007B74BD"/>
    <w:rsid w:val="007B75B8"/>
    <w:rsid w:val="007C2787"/>
    <w:rsid w:val="007D023B"/>
    <w:rsid w:val="007D28F7"/>
    <w:rsid w:val="007D3A99"/>
    <w:rsid w:val="007D424E"/>
    <w:rsid w:val="007D6686"/>
    <w:rsid w:val="007D701C"/>
    <w:rsid w:val="007E0DB6"/>
    <w:rsid w:val="007E4A6C"/>
    <w:rsid w:val="007E5910"/>
    <w:rsid w:val="007E61BB"/>
    <w:rsid w:val="007E6253"/>
    <w:rsid w:val="007F5DBC"/>
    <w:rsid w:val="007F7726"/>
    <w:rsid w:val="0080102B"/>
    <w:rsid w:val="008024CC"/>
    <w:rsid w:val="008125A8"/>
    <w:rsid w:val="0081297B"/>
    <w:rsid w:val="008133B9"/>
    <w:rsid w:val="0081486C"/>
    <w:rsid w:val="00817BCA"/>
    <w:rsid w:val="008238C4"/>
    <w:rsid w:val="00826135"/>
    <w:rsid w:val="00831288"/>
    <w:rsid w:val="00831527"/>
    <w:rsid w:val="00835CB5"/>
    <w:rsid w:val="00842041"/>
    <w:rsid w:val="00843F41"/>
    <w:rsid w:val="00851042"/>
    <w:rsid w:val="0085159D"/>
    <w:rsid w:val="00854AFB"/>
    <w:rsid w:val="00860ACF"/>
    <w:rsid w:val="00861AF7"/>
    <w:rsid w:val="008637C3"/>
    <w:rsid w:val="0086513E"/>
    <w:rsid w:val="0088189F"/>
    <w:rsid w:val="00881F08"/>
    <w:rsid w:val="00884C48"/>
    <w:rsid w:val="008962AA"/>
    <w:rsid w:val="00897850"/>
    <w:rsid w:val="008A12BB"/>
    <w:rsid w:val="008B220F"/>
    <w:rsid w:val="008B37F9"/>
    <w:rsid w:val="008B7E50"/>
    <w:rsid w:val="008B7F44"/>
    <w:rsid w:val="008C00A4"/>
    <w:rsid w:val="008C2DE8"/>
    <w:rsid w:val="008C3A54"/>
    <w:rsid w:val="008C5268"/>
    <w:rsid w:val="008C756F"/>
    <w:rsid w:val="008D5348"/>
    <w:rsid w:val="008D5D90"/>
    <w:rsid w:val="008E2637"/>
    <w:rsid w:val="008F005C"/>
    <w:rsid w:val="008F08B8"/>
    <w:rsid w:val="008F3FC8"/>
    <w:rsid w:val="008F5A67"/>
    <w:rsid w:val="009014F7"/>
    <w:rsid w:val="009027BE"/>
    <w:rsid w:val="0090420A"/>
    <w:rsid w:val="009047F7"/>
    <w:rsid w:val="00904AAD"/>
    <w:rsid w:val="0091009E"/>
    <w:rsid w:val="00912F60"/>
    <w:rsid w:val="00917D7A"/>
    <w:rsid w:val="00917D80"/>
    <w:rsid w:val="009228D0"/>
    <w:rsid w:val="009242C7"/>
    <w:rsid w:val="00925B72"/>
    <w:rsid w:val="00935942"/>
    <w:rsid w:val="009413BA"/>
    <w:rsid w:val="00950053"/>
    <w:rsid w:val="00950918"/>
    <w:rsid w:val="00950C17"/>
    <w:rsid w:val="0095388A"/>
    <w:rsid w:val="00954B9B"/>
    <w:rsid w:val="009609BA"/>
    <w:rsid w:val="00961C08"/>
    <w:rsid w:val="00962765"/>
    <w:rsid w:val="009644A0"/>
    <w:rsid w:val="00966A91"/>
    <w:rsid w:val="009702FA"/>
    <w:rsid w:val="0097360B"/>
    <w:rsid w:val="009737B3"/>
    <w:rsid w:val="00973BB0"/>
    <w:rsid w:val="00977C60"/>
    <w:rsid w:val="009800AB"/>
    <w:rsid w:val="009838DE"/>
    <w:rsid w:val="00983905"/>
    <w:rsid w:val="00986EBD"/>
    <w:rsid w:val="00987BFC"/>
    <w:rsid w:val="00990C58"/>
    <w:rsid w:val="009944BA"/>
    <w:rsid w:val="00994552"/>
    <w:rsid w:val="00997845"/>
    <w:rsid w:val="00997E77"/>
    <w:rsid w:val="009A3485"/>
    <w:rsid w:val="009A4178"/>
    <w:rsid w:val="009A6B75"/>
    <w:rsid w:val="009A7150"/>
    <w:rsid w:val="009B2F51"/>
    <w:rsid w:val="009B2F70"/>
    <w:rsid w:val="009C713C"/>
    <w:rsid w:val="009E0CD7"/>
    <w:rsid w:val="009E1DCD"/>
    <w:rsid w:val="009E32C5"/>
    <w:rsid w:val="009E49F7"/>
    <w:rsid w:val="009E6467"/>
    <w:rsid w:val="009E784F"/>
    <w:rsid w:val="009F257C"/>
    <w:rsid w:val="009F5287"/>
    <w:rsid w:val="009F7286"/>
    <w:rsid w:val="00A01D21"/>
    <w:rsid w:val="00A01DCD"/>
    <w:rsid w:val="00A0312B"/>
    <w:rsid w:val="00A14F1B"/>
    <w:rsid w:val="00A22089"/>
    <w:rsid w:val="00A24E0E"/>
    <w:rsid w:val="00A3016F"/>
    <w:rsid w:val="00A35C46"/>
    <w:rsid w:val="00A40344"/>
    <w:rsid w:val="00A41C99"/>
    <w:rsid w:val="00A422F6"/>
    <w:rsid w:val="00A42AB1"/>
    <w:rsid w:val="00A443DA"/>
    <w:rsid w:val="00A4584D"/>
    <w:rsid w:val="00A55F47"/>
    <w:rsid w:val="00A64B37"/>
    <w:rsid w:val="00A650B3"/>
    <w:rsid w:val="00A6665D"/>
    <w:rsid w:val="00A66C3D"/>
    <w:rsid w:val="00A66FD9"/>
    <w:rsid w:val="00A7091C"/>
    <w:rsid w:val="00A76C95"/>
    <w:rsid w:val="00A8560F"/>
    <w:rsid w:val="00A8641F"/>
    <w:rsid w:val="00A86B59"/>
    <w:rsid w:val="00A90D32"/>
    <w:rsid w:val="00A92669"/>
    <w:rsid w:val="00A92E9A"/>
    <w:rsid w:val="00A93F72"/>
    <w:rsid w:val="00A94E0E"/>
    <w:rsid w:val="00A95A1F"/>
    <w:rsid w:val="00AA022C"/>
    <w:rsid w:val="00AA5B4F"/>
    <w:rsid w:val="00AA72FC"/>
    <w:rsid w:val="00AC231B"/>
    <w:rsid w:val="00AC4ECA"/>
    <w:rsid w:val="00AD0996"/>
    <w:rsid w:val="00AD47E8"/>
    <w:rsid w:val="00AD6281"/>
    <w:rsid w:val="00AD6740"/>
    <w:rsid w:val="00AD7174"/>
    <w:rsid w:val="00AD71FC"/>
    <w:rsid w:val="00AE3E91"/>
    <w:rsid w:val="00AE56A9"/>
    <w:rsid w:val="00AF0D5F"/>
    <w:rsid w:val="00AF281B"/>
    <w:rsid w:val="00B00B5F"/>
    <w:rsid w:val="00B02728"/>
    <w:rsid w:val="00B03246"/>
    <w:rsid w:val="00B03EFD"/>
    <w:rsid w:val="00B04365"/>
    <w:rsid w:val="00B0485E"/>
    <w:rsid w:val="00B10142"/>
    <w:rsid w:val="00B1265E"/>
    <w:rsid w:val="00B12C5B"/>
    <w:rsid w:val="00B15949"/>
    <w:rsid w:val="00B21528"/>
    <w:rsid w:val="00B21A19"/>
    <w:rsid w:val="00B22F6C"/>
    <w:rsid w:val="00B2600D"/>
    <w:rsid w:val="00B27A1E"/>
    <w:rsid w:val="00B303D0"/>
    <w:rsid w:val="00B341CC"/>
    <w:rsid w:val="00B353D3"/>
    <w:rsid w:val="00B37013"/>
    <w:rsid w:val="00B4022C"/>
    <w:rsid w:val="00B4371A"/>
    <w:rsid w:val="00B43D24"/>
    <w:rsid w:val="00B46046"/>
    <w:rsid w:val="00B46E31"/>
    <w:rsid w:val="00B51080"/>
    <w:rsid w:val="00B52035"/>
    <w:rsid w:val="00B55362"/>
    <w:rsid w:val="00B73A63"/>
    <w:rsid w:val="00B74198"/>
    <w:rsid w:val="00B74F79"/>
    <w:rsid w:val="00B806FE"/>
    <w:rsid w:val="00B810DF"/>
    <w:rsid w:val="00B84DE4"/>
    <w:rsid w:val="00B86CA9"/>
    <w:rsid w:val="00B94394"/>
    <w:rsid w:val="00B950DA"/>
    <w:rsid w:val="00BA0E35"/>
    <w:rsid w:val="00BA0FA4"/>
    <w:rsid w:val="00BA1E25"/>
    <w:rsid w:val="00BA4077"/>
    <w:rsid w:val="00BA5BA7"/>
    <w:rsid w:val="00BB06CB"/>
    <w:rsid w:val="00BB0B56"/>
    <w:rsid w:val="00BB150C"/>
    <w:rsid w:val="00BB7507"/>
    <w:rsid w:val="00BB77F4"/>
    <w:rsid w:val="00BC4CCE"/>
    <w:rsid w:val="00BC6F59"/>
    <w:rsid w:val="00BD01D1"/>
    <w:rsid w:val="00BD49F8"/>
    <w:rsid w:val="00BD7542"/>
    <w:rsid w:val="00BE08FF"/>
    <w:rsid w:val="00BE0F10"/>
    <w:rsid w:val="00BE13E3"/>
    <w:rsid w:val="00BE4DD5"/>
    <w:rsid w:val="00BE5BE1"/>
    <w:rsid w:val="00BF2358"/>
    <w:rsid w:val="00BF2C46"/>
    <w:rsid w:val="00C02D3C"/>
    <w:rsid w:val="00C05955"/>
    <w:rsid w:val="00C06AFA"/>
    <w:rsid w:val="00C10635"/>
    <w:rsid w:val="00C12FC3"/>
    <w:rsid w:val="00C13168"/>
    <w:rsid w:val="00C22784"/>
    <w:rsid w:val="00C23901"/>
    <w:rsid w:val="00C26E0B"/>
    <w:rsid w:val="00C274AD"/>
    <w:rsid w:val="00C32319"/>
    <w:rsid w:val="00C32593"/>
    <w:rsid w:val="00C36E77"/>
    <w:rsid w:val="00C37199"/>
    <w:rsid w:val="00C37D58"/>
    <w:rsid w:val="00C5666A"/>
    <w:rsid w:val="00C56740"/>
    <w:rsid w:val="00C574BE"/>
    <w:rsid w:val="00C574C8"/>
    <w:rsid w:val="00C64C31"/>
    <w:rsid w:val="00C65FF5"/>
    <w:rsid w:val="00C679EF"/>
    <w:rsid w:val="00C722B0"/>
    <w:rsid w:val="00C747EE"/>
    <w:rsid w:val="00C76E68"/>
    <w:rsid w:val="00C841B9"/>
    <w:rsid w:val="00C864CD"/>
    <w:rsid w:val="00C87BDB"/>
    <w:rsid w:val="00C9277F"/>
    <w:rsid w:val="00C97EAB"/>
    <w:rsid w:val="00CA01CD"/>
    <w:rsid w:val="00CA48CC"/>
    <w:rsid w:val="00CA7CAE"/>
    <w:rsid w:val="00CB0650"/>
    <w:rsid w:val="00CB3992"/>
    <w:rsid w:val="00CB6F41"/>
    <w:rsid w:val="00CC1C1F"/>
    <w:rsid w:val="00CC2684"/>
    <w:rsid w:val="00CC29F0"/>
    <w:rsid w:val="00CC4204"/>
    <w:rsid w:val="00CC66E0"/>
    <w:rsid w:val="00CD23F9"/>
    <w:rsid w:val="00CD3C8B"/>
    <w:rsid w:val="00CD6495"/>
    <w:rsid w:val="00CD6731"/>
    <w:rsid w:val="00CE17F6"/>
    <w:rsid w:val="00CE2915"/>
    <w:rsid w:val="00CE3321"/>
    <w:rsid w:val="00CE3FF2"/>
    <w:rsid w:val="00CE6C89"/>
    <w:rsid w:val="00CE7E57"/>
    <w:rsid w:val="00CF25C5"/>
    <w:rsid w:val="00CF48F3"/>
    <w:rsid w:val="00CF7637"/>
    <w:rsid w:val="00D04F57"/>
    <w:rsid w:val="00D13F13"/>
    <w:rsid w:val="00D14B4E"/>
    <w:rsid w:val="00D213AC"/>
    <w:rsid w:val="00D244BB"/>
    <w:rsid w:val="00D33144"/>
    <w:rsid w:val="00D33F33"/>
    <w:rsid w:val="00D42F40"/>
    <w:rsid w:val="00D43162"/>
    <w:rsid w:val="00D46091"/>
    <w:rsid w:val="00D474EB"/>
    <w:rsid w:val="00D53BF5"/>
    <w:rsid w:val="00D558B2"/>
    <w:rsid w:val="00D5607F"/>
    <w:rsid w:val="00D57C9D"/>
    <w:rsid w:val="00D6352D"/>
    <w:rsid w:val="00D7296B"/>
    <w:rsid w:val="00D74EA2"/>
    <w:rsid w:val="00D777BF"/>
    <w:rsid w:val="00D86B26"/>
    <w:rsid w:val="00D86B69"/>
    <w:rsid w:val="00D914FD"/>
    <w:rsid w:val="00D9259D"/>
    <w:rsid w:val="00D964D1"/>
    <w:rsid w:val="00DA1A90"/>
    <w:rsid w:val="00DB0511"/>
    <w:rsid w:val="00DB0AC2"/>
    <w:rsid w:val="00DB1188"/>
    <w:rsid w:val="00DB1F86"/>
    <w:rsid w:val="00DB4AD0"/>
    <w:rsid w:val="00DB6205"/>
    <w:rsid w:val="00DB72A5"/>
    <w:rsid w:val="00DC21A8"/>
    <w:rsid w:val="00DC2D1D"/>
    <w:rsid w:val="00DC30B0"/>
    <w:rsid w:val="00DD0D94"/>
    <w:rsid w:val="00DD265D"/>
    <w:rsid w:val="00DD46BE"/>
    <w:rsid w:val="00DD6396"/>
    <w:rsid w:val="00DD6918"/>
    <w:rsid w:val="00DE1254"/>
    <w:rsid w:val="00DE16CC"/>
    <w:rsid w:val="00DE3830"/>
    <w:rsid w:val="00DE4C4C"/>
    <w:rsid w:val="00DE4FAB"/>
    <w:rsid w:val="00DE7566"/>
    <w:rsid w:val="00DF03B9"/>
    <w:rsid w:val="00DF0CC2"/>
    <w:rsid w:val="00DF14F8"/>
    <w:rsid w:val="00DF4C6F"/>
    <w:rsid w:val="00DF6638"/>
    <w:rsid w:val="00E03AD3"/>
    <w:rsid w:val="00E0537F"/>
    <w:rsid w:val="00E10F9C"/>
    <w:rsid w:val="00E133FF"/>
    <w:rsid w:val="00E13DCD"/>
    <w:rsid w:val="00E2024C"/>
    <w:rsid w:val="00E204AD"/>
    <w:rsid w:val="00E20787"/>
    <w:rsid w:val="00E20C29"/>
    <w:rsid w:val="00E2660D"/>
    <w:rsid w:val="00E27293"/>
    <w:rsid w:val="00E34CEA"/>
    <w:rsid w:val="00E359AB"/>
    <w:rsid w:val="00E40A14"/>
    <w:rsid w:val="00E417BF"/>
    <w:rsid w:val="00E41AA2"/>
    <w:rsid w:val="00E43E91"/>
    <w:rsid w:val="00E46599"/>
    <w:rsid w:val="00E50EE9"/>
    <w:rsid w:val="00E53957"/>
    <w:rsid w:val="00E55FC6"/>
    <w:rsid w:val="00E604C4"/>
    <w:rsid w:val="00E716ED"/>
    <w:rsid w:val="00E72BC8"/>
    <w:rsid w:val="00E72C1B"/>
    <w:rsid w:val="00E75D74"/>
    <w:rsid w:val="00E84B87"/>
    <w:rsid w:val="00E85249"/>
    <w:rsid w:val="00E852CA"/>
    <w:rsid w:val="00E8658D"/>
    <w:rsid w:val="00E8709E"/>
    <w:rsid w:val="00E90BEB"/>
    <w:rsid w:val="00E91B0C"/>
    <w:rsid w:val="00E96A42"/>
    <w:rsid w:val="00E96CE6"/>
    <w:rsid w:val="00EA2B36"/>
    <w:rsid w:val="00EA621D"/>
    <w:rsid w:val="00EB0FFB"/>
    <w:rsid w:val="00EB2737"/>
    <w:rsid w:val="00EB3CBE"/>
    <w:rsid w:val="00EB4695"/>
    <w:rsid w:val="00EB493D"/>
    <w:rsid w:val="00EB5F8D"/>
    <w:rsid w:val="00EC099B"/>
    <w:rsid w:val="00EC2EED"/>
    <w:rsid w:val="00EC32D5"/>
    <w:rsid w:val="00EC4349"/>
    <w:rsid w:val="00EC5EEF"/>
    <w:rsid w:val="00EC713B"/>
    <w:rsid w:val="00ED2E60"/>
    <w:rsid w:val="00ED640F"/>
    <w:rsid w:val="00EE179F"/>
    <w:rsid w:val="00EE1DD3"/>
    <w:rsid w:val="00EE53FB"/>
    <w:rsid w:val="00EF36F4"/>
    <w:rsid w:val="00EF58D5"/>
    <w:rsid w:val="00EF7D37"/>
    <w:rsid w:val="00F02195"/>
    <w:rsid w:val="00F11DFF"/>
    <w:rsid w:val="00F1208D"/>
    <w:rsid w:val="00F153BC"/>
    <w:rsid w:val="00F15F36"/>
    <w:rsid w:val="00F16BA6"/>
    <w:rsid w:val="00F20976"/>
    <w:rsid w:val="00F20BB4"/>
    <w:rsid w:val="00F21DF4"/>
    <w:rsid w:val="00F23EEB"/>
    <w:rsid w:val="00F26583"/>
    <w:rsid w:val="00F30A76"/>
    <w:rsid w:val="00F4012C"/>
    <w:rsid w:val="00F4049D"/>
    <w:rsid w:val="00F40690"/>
    <w:rsid w:val="00F41826"/>
    <w:rsid w:val="00F422B6"/>
    <w:rsid w:val="00F51955"/>
    <w:rsid w:val="00F52D29"/>
    <w:rsid w:val="00F553B2"/>
    <w:rsid w:val="00F57C2A"/>
    <w:rsid w:val="00F61D15"/>
    <w:rsid w:val="00F62642"/>
    <w:rsid w:val="00F64D97"/>
    <w:rsid w:val="00F6547B"/>
    <w:rsid w:val="00F66477"/>
    <w:rsid w:val="00F72C76"/>
    <w:rsid w:val="00F73028"/>
    <w:rsid w:val="00F75764"/>
    <w:rsid w:val="00F763AF"/>
    <w:rsid w:val="00F82563"/>
    <w:rsid w:val="00F91E48"/>
    <w:rsid w:val="00F92B6C"/>
    <w:rsid w:val="00FB0583"/>
    <w:rsid w:val="00FB13CE"/>
    <w:rsid w:val="00FB330B"/>
    <w:rsid w:val="00FB3CB6"/>
    <w:rsid w:val="00FB4A37"/>
    <w:rsid w:val="00FB4DB6"/>
    <w:rsid w:val="00FC053C"/>
    <w:rsid w:val="00FC5809"/>
    <w:rsid w:val="00FC7DF8"/>
    <w:rsid w:val="00FD3F59"/>
    <w:rsid w:val="00FD488F"/>
    <w:rsid w:val="00FD48F5"/>
    <w:rsid w:val="00FD4EAB"/>
    <w:rsid w:val="00FE1E05"/>
    <w:rsid w:val="00FE513F"/>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86B952"/>
  <w15:chartTrackingRefBased/>
  <w15:docId w15:val="{3A95EC51-BE76-4D37-A3A4-06F9DAB1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8C00A4"/>
    <w:pPr>
      <w:spacing w:line="240" w:lineRule="atLeast"/>
      <w:jc w:val="both"/>
    </w:pPr>
    <w:rPr>
      <w:sz w:val="22"/>
    </w:rPr>
  </w:style>
  <w:style w:type="paragraph" w:styleId="Heading1">
    <w:name w:val="heading 1"/>
    <w:aliases w:val="H1-Sec.Head"/>
    <w:basedOn w:val="Normal"/>
    <w:next w:val="P1-StandPara"/>
    <w:link w:val="Heading1Char"/>
    <w:uiPriority w:val="9"/>
    <w:qFormat/>
    <w:rsid w:val="00761F94"/>
    <w:pPr>
      <w:keepNext/>
      <w:tabs>
        <w:tab w:val="left" w:pos="1152"/>
      </w:tabs>
      <w:spacing w:after="480" w:line="240" w:lineRule="auto"/>
      <w:jc w:val="left"/>
      <w:outlineLvl w:val="0"/>
    </w:pPr>
    <w:rPr>
      <w:b/>
    </w:rPr>
  </w:style>
  <w:style w:type="paragraph" w:styleId="Heading2">
    <w:name w:val="heading 2"/>
    <w:aliases w:val="H2-Sec. Head"/>
    <w:basedOn w:val="Normal"/>
    <w:next w:val="P1-StandPara"/>
    <w:link w:val="Heading2Char"/>
    <w:qFormat/>
    <w:rsid w:val="008B37F9"/>
    <w:pPr>
      <w:spacing w:after="480" w:line="240" w:lineRule="auto"/>
      <w:jc w:val="left"/>
      <w:outlineLvl w:val="1"/>
    </w:pPr>
    <w:rPr>
      <w:b/>
      <w:sz w:val="28"/>
      <w:szCs w:val="28"/>
    </w:rPr>
  </w:style>
  <w:style w:type="paragraph" w:styleId="Heading3">
    <w:name w:val="heading 3"/>
    <w:aliases w:val="H3-Sec. Head"/>
    <w:basedOn w:val="Normal"/>
    <w:next w:val="P1-StandPara"/>
    <w:link w:val="Heading3Char"/>
    <w:uiPriority w:val="9"/>
    <w:qFormat/>
    <w:rsid w:val="00017E02"/>
    <w:pPr>
      <w:numPr>
        <w:numId w:val="5"/>
      </w:numPr>
      <w:spacing w:after="60"/>
      <w:ind w:left="360"/>
      <w:outlineLvl w:val="2"/>
    </w:pPr>
    <w:rPr>
      <w:b/>
      <w:szCs w:val="22"/>
      <w:u w:val="single"/>
    </w:rPr>
  </w:style>
  <w:style w:type="paragraph" w:styleId="Heading4">
    <w:name w:val="heading 4"/>
    <w:aliases w:val="H4 Sec.Heading"/>
    <w:basedOn w:val="Normal"/>
    <w:next w:val="P1-StandPara"/>
    <w:link w:val="Heading4Char"/>
    <w:uiPriority w:val="9"/>
    <w:qFormat/>
    <w:rsid w:val="008C00A4"/>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uiPriority w:val="9"/>
    <w:qFormat/>
    <w:rsid w:val="008C00A4"/>
    <w:pPr>
      <w:keepLines/>
      <w:spacing w:before="360" w:line="360" w:lineRule="atLeast"/>
      <w:jc w:val="center"/>
      <w:outlineLvl w:val="4"/>
    </w:pPr>
  </w:style>
  <w:style w:type="paragraph" w:styleId="Heading6">
    <w:name w:val="heading 6"/>
    <w:basedOn w:val="Normal"/>
    <w:next w:val="Normal"/>
    <w:link w:val="Heading6Char"/>
    <w:uiPriority w:val="9"/>
    <w:qFormat/>
    <w:rsid w:val="008C00A4"/>
    <w:pPr>
      <w:keepNext/>
      <w:spacing w:before="240"/>
      <w:jc w:val="center"/>
      <w:outlineLvl w:val="5"/>
    </w:pPr>
    <w:rPr>
      <w:b/>
      <w:caps/>
    </w:rPr>
  </w:style>
  <w:style w:type="paragraph" w:styleId="Heading7">
    <w:name w:val="heading 7"/>
    <w:basedOn w:val="Normal"/>
    <w:next w:val="Normal"/>
    <w:link w:val="Heading7Char"/>
    <w:uiPriority w:val="9"/>
    <w:qFormat/>
    <w:rsid w:val="008C00A4"/>
    <w:pPr>
      <w:spacing w:before="240" w:after="60"/>
      <w:outlineLvl w:val="6"/>
    </w:pPr>
  </w:style>
  <w:style w:type="paragraph" w:styleId="Heading8">
    <w:name w:val="heading 8"/>
    <w:basedOn w:val="Normal"/>
    <w:next w:val="Normal"/>
    <w:link w:val="Heading8Char"/>
    <w:uiPriority w:val="9"/>
    <w:qFormat/>
    <w:rsid w:val="008C00A4"/>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7"/>
    </w:pPr>
    <w:rPr>
      <w:b/>
      <w:sz w:val="24"/>
    </w:rPr>
  </w:style>
  <w:style w:type="paragraph" w:styleId="Heading9">
    <w:name w:val="heading 9"/>
    <w:basedOn w:val="Normal"/>
    <w:next w:val="Normal"/>
    <w:link w:val="Heading9Char"/>
    <w:uiPriority w:val="9"/>
    <w:qFormat/>
    <w:rsid w:val="008C00A4"/>
    <w:pPr>
      <w:keepNext/>
      <w:numPr>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uiPriority w:val="9"/>
    <w:rsid w:val="006C20F7"/>
    <w:rPr>
      <w:rFonts w:ascii="Cambria" w:eastAsia="Times New Roman" w:hAnsi="Cambria" w:cs="Times New Roman"/>
      <w:b/>
      <w:bCs/>
      <w:kern w:val="32"/>
      <w:sz w:val="32"/>
      <w:szCs w:val="32"/>
    </w:rPr>
  </w:style>
  <w:style w:type="character" w:customStyle="1" w:styleId="Heading2Char">
    <w:name w:val="Heading 2 Char"/>
    <w:aliases w:val="H2-Sec. Head Char"/>
    <w:link w:val="Heading2"/>
    <w:rsid w:val="006C20F7"/>
    <w:rPr>
      <w:rFonts w:ascii="Cambria" w:eastAsia="Times New Roman" w:hAnsi="Cambria" w:cs="Times New Roman"/>
      <w:b/>
      <w:bCs/>
      <w:i/>
      <w:iCs/>
      <w:sz w:val="28"/>
      <w:szCs w:val="28"/>
    </w:rPr>
  </w:style>
  <w:style w:type="character" w:customStyle="1" w:styleId="Heading3Char">
    <w:name w:val="Heading 3 Char"/>
    <w:aliases w:val="H3-Sec. Head Char"/>
    <w:link w:val="Heading3"/>
    <w:uiPriority w:val="9"/>
    <w:semiHidden/>
    <w:rsid w:val="006C20F7"/>
    <w:rPr>
      <w:rFonts w:ascii="Cambria" w:eastAsia="Times New Roman" w:hAnsi="Cambria" w:cs="Times New Roman"/>
      <w:b/>
      <w:bCs/>
      <w:sz w:val="26"/>
      <w:szCs w:val="26"/>
    </w:rPr>
  </w:style>
  <w:style w:type="character" w:customStyle="1" w:styleId="Heading4Char">
    <w:name w:val="Heading 4 Char"/>
    <w:aliases w:val="H4 Sec.Heading Char"/>
    <w:link w:val="Heading4"/>
    <w:uiPriority w:val="9"/>
    <w:semiHidden/>
    <w:rsid w:val="006C20F7"/>
    <w:rPr>
      <w:rFonts w:ascii="Calibri" w:eastAsia="Times New Roman" w:hAnsi="Calibri" w:cs="Times New Roman"/>
      <w:b/>
      <w:bCs/>
      <w:sz w:val="28"/>
      <w:szCs w:val="28"/>
    </w:rPr>
  </w:style>
  <w:style w:type="character" w:customStyle="1" w:styleId="Heading5Char">
    <w:name w:val="Heading 5 Char"/>
    <w:link w:val="Heading5"/>
    <w:uiPriority w:val="9"/>
    <w:semiHidden/>
    <w:rsid w:val="006C20F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C20F7"/>
    <w:rPr>
      <w:rFonts w:ascii="Calibri" w:eastAsia="Times New Roman" w:hAnsi="Calibri" w:cs="Times New Roman"/>
      <w:b/>
      <w:bCs/>
      <w:sz w:val="22"/>
      <w:szCs w:val="22"/>
    </w:rPr>
  </w:style>
  <w:style w:type="character" w:customStyle="1" w:styleId="Heading7Char">
    <w:name w:val="Heading 7 Char"/>
    <w:link w:val="Heading7"/>
    <w:uiPriority w:val="9"/>
    <w:semiHidden/>
    <w:rsid w:val="006C20F7"/>
    <w:rPr>
      <w:rFonts w:ascii="Calibri" w:eastAsia="Times New Roman" w:hAnsi="Calibri" w:cs="Times New Roman"/>
      <w:sz w:val="24"/>
      <w:szCs w:val="24"/>
    </w:rPr>
  </w:style>
  <w:style w:type="character" w:customStyle="1" w:styleId="Heading8Char">
    <w:name w:val="Heading 8 Char"/>
    <w:link w:val="Heading8"/>
    <w:uiPriority w:val="9"/>
    <w:semiHidden/>
    <w:rsid w:val="006C20F7"/>
    <w:rPr>
      <w:rFonts w:ascii="Calibri" w:eastAsia="Times New Roman" w:hAnsi="Calibri" w:cs="Times New Roman"/>
      <w:i/>
      <w:iCs/>
      <w:sz w:val="24"/>
      <w:szCs w:val="24"/>
    </w:rPr>
  </w:style>
  <w:style w:type="character" w:customStyle="1" w:styleId="Heading9Char">
    <w:name w:val="Heading 9 Char"/>
    <w:link w:val="Heading9"/>
    <w:uiPriority w:val="9"/>
    <w:semiHidden/>
    <w:rsid w:val="006C20F7"/>
    <w:rPr>
      <w:rFonts w:ascii="Cambria" w:eastAsia="Times New Roman" w:hAnsi="Cambria" w:cs="Times New Roman"/>
      <w:sz w:val="22"/>
      <w:szCs w:val="22"/>
    </w:rPr>
  </w:style>
  <w:style w:type="paragraph" w:styleId="BodyTextIndent2">
    <w:name w:val="Body Text Indent 2"/>
    <w:basedOn w:val="Normal"/>
    <w:link w:val="BodyTextIndent2Char"/>
    <w:uiPriority w:val="99"/>
    <w:rsid w:val="008C00A4"/>
    <w:pPr>
      <w:numPr>
        <w:ilvl w:val="12"/>
      </w:numPr>
      <w:spacing w:line="240" w:lineRule="auto"/>
      <w:ind w:left="360" w:hanging="360"/>
      <w:jc w:val="left"/>
    </w:pPr>
    <w:rPr>
      <w:i/>
    </w:rPr>
  </w:style>
  <w:style w:type="character" w:customStyle="1" w:styleId="BodyTextIndent2Char">
    <w:name w:val="Body Text Indent 2 Char"/>
    <w:link w:val="BodyTextIndent2"/>
    <w:uiPriority w:val="99"/>
    <w:semiHidden/>
    <w:rsid w:val="006C20F7"/>
    <w:rPr>
      <w:sz w:val="22"/>
    </w:rPr>
  </w:style>
  <w:style w:type="paragraph" w:customStyle="1" w:styleId="C1-CtrBoldHd">
    <w:name w:val="C1-Ctr BoldHd"/>
    <w:rsid w:val="008C00A4"/>
    <w:pPr>
      <w:keepNext/>
      <w:spacing w:after="720" w:line="240" w:lineRule="atLeast"/>
      <w:jc w:val="center"/>
    </w:pPr>
    <w:rPr>
      <w:b/>
      <w:caps/>
      <w:sz w:val="22"/>
    </w:rPr>
  </w:style>
  <w:style w:type="paragraph" w:customStyle="1" w:styleId="C2-CtrSglSp">
    <w:name w:val="C2-Ctr Sgl Sp"/>
    <w:rsid w:val="008C00A4"/>
    <w:pPr>
      <w:keepLines/>
      <w:spacing w:line="240" w:lineRule="atLeast"/>
      <w:jc w:val="center"/>
    </w:pPr>
    <w:rPr>
      <w:sz w:val="22"/>
    </w:rPr>
  </w:style>
  <w:style w:type="paragraph" w:customStyle="1" w:styleId="C3-CtrSp12">
    <w:name w:val="C3-Ctr Sp&amp;1/2"/>
    <w:rsid w:val="008C00A4"/>
    <w:pPr>
      <w:keepLines/>
      <w:spacing w:line="360" w:lineRule="atLeast"/>
      <w:jc w:val="center"/>
    </w:pPr>
    <w:rPr>
      <w:sz w:val="22"/>
    </w:rPr>
  </w:style>
  <w:style w:type="paragraph" w:customStyle="1" w:styleId="E1-Equation">
    <w:name w:val="E1-Equation"/>
    <w:rsid w:val="008C00A4"/>
    <w:pPr>
      <w:tabs>
        <w:tab w:val="center" w:pos="4680"/>
        <w:tab w:val="right" w:pos="9360"/>
      </w:tabs>
      <w:spacing w:line="240" w:lineRule="atLeast"/>
      <w:jc w:val="both"/>
    </w:pPr>
    <w:rPr>
      <w:sz w:val="22"/>
    </w:rPr>
  </w:style>
  <w:style w:type="paragraph" w:customStyle="1" w:styleId="E2-Equation">
    <w:name w:val="E2-Equation"/>
    <w:basedOn w:val="E1-Equation"/>
    <w:rsid w:val="008C00A4"/>
    <w:pPr>
      <w:tabs>
        <w:tab w:val="clear" w:pos="4680"/>
        <w:tab w:val="clear" w:pos="9360"/>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8C00A4"/>
    <w:pPr>
      <w:tabs>
        <w:tab w:val="left" w:pos="120"/>
      </w:tabs>
      <w:spacing w:before="120" w:line="200" w:lineRule="atLeast"/>
      <w:ind w:left="115" w:hanging="115"/>
    </w:pPr>
    <w:rPr>
      <w:sz w:val="16"/>
    </w:rPr>
  </w:style>
  <w:style w:type="character" w:customStyle="1" w:styleId="FootnoteTextChar">
    <w:name w:val="Footnote Text Char"/>
    <w:aliases w:val="F1 Char"/>
    <w:basedOn w:val="DefaultParagraphFont"/>
    <w:link w:val="FootnoteText"/>
    <w:uiPriority w:val="99"/>
    <w:semiHidden/>
    <w:rsid w:val="006C20F7"/>
  </w:style>
  <w:style w:type="paragraph" w:customStyle="1" w:styleId="L1-FlLSp12">
    <w:name w:val="L1-FlL Sp&amp;1/2"/>
    <w:rsid w:val="008C00A4"/>
    <w:pPr>
      <w:tabs>
        <w:tab w:val="left" w:pos="1152"/>
      </w:tabs>
      <w:spacing w:line="360" w:lineRule="atLeast"/>
      <w:jc w:val="both"/>
    </w:pPr>
    <w:rPr>
      <w:sz w:val="22"/>
    </w:rPr>
  </w:style>
  <w:style w:type="paragraph" w:customStyle="1" w:styleId="N0-FlLftBullet">
    <w:name w:val="N0-Fl Lft Bullet"/>
    <w:basedOn w:val="Normal"/>
    <w:rsid w:val="008C00A4"/>
    <w:pPr>
      <w:tabs>
        <w:tab w:val="left" w:pos="576"/>
      </w:tabs>
      <w:spacing w:after="240"/>
      <w:ind w:left="576" w:hanging="576"/>
    </w:pPr>
  </w:style>
  <w:style w:type="paragraph" w:customStyle="1" w:styleId="N1-1stBullet">
    <w:name w:val="N1-1st Bullet"/>
    <w:basedOn w:val="Normal"/>
    <w:rsid w:val="008C00A4"/>
    <w:pPr>
      <w:tabs>
        <w:tab w:val="left" w:pos="1152"/>
      </w:tabs>
      <w:spacing w:after="240"/>
      <w:ind w:left="1152" w:hanging="576"/>
    </w:pPr>
  </w:style>
  <w:style w:type="paragraph" w:customStyle="1" w:styleId="N2-2ndBullet">
    <w:name w:val="N2-2nd Bullet"/>
    <w:basedOn w:val="Normal"/>
    <w:rsid w:val="008C00A4"/>
    <w:pPr>
      <w:numPr>
        <w:numId w:val="1"/>
      </w:numPr>
      <w:tabs>
        <w:tab w:val="left" w:pos="1728"/>
      </w:tabs>
      <w:spacing w:after="240"/>
    </w:pPr>
  </w:style>
  <w:style w:type="paragraph" w:customStyle="1" w:styleId="N3-3rdBullet">
    <w:name w:val="N3-3rd Bullet"/>
    <w:basedOn w:val="Normal"/>
    <w:rsid w:val="008C00A4"/>
    <w:pPr>
      <w:tabs>
        <w:tab w:val="left" w:pos="2304"/>
      </w:tabs>
      <w:spacing w:after="240"/>
      <w:ind w:left="2304" w:hanging="576"/>
    </w:pPr>
  </w:style>
  <w:style w:type="paragraph" w:customStyle="1" w:styleId="N4-4thBullet">
    <w:name w:val="N4-4th Bullet"/>
    <w:basedOn w:val="Normal"/>
    <w:rsid w:val="008C00A4"/>
    <w:pPr>
      <w:tabs>
        <w:tab w:val="left" w:pos="2880"/>
      </w:tabs>
      <w:spacing w:after="240"/>
      <w:ind w:left="2880" w:hanging="576"/>
    </w:pPr>
  </w:style>
  <w:style w:type="paragraph" w:customStyle="1" w:styleId="N5-5thBullet">
    <w:name w:val="N5-5th Bullet"/>
    <w:basedOn w:val="Normal"/>
    <w:rsid w:val="008C00A4"/>
    <w:pPr>
      <w:tabs>
        <w:tab w:val="left" w:pos="3456"/>
      </w:tabs>
      <w:spacing w:after="240"/>
      <w:ind w:left="3456" w:hanging="576"/>
    </w:pPr>
  </w:style>
  <w:style w:type="paragraph" w:customStyle="1" w:styleId="N6-DateInd">
    <w:name w:val="N6-Date Ind."/>
    <w:basedOn w:val="Normal"/>
    <w:rsid w:val="008C00A4"/>
    <w:pPr>
      <w:tabs>
        <w:tab w:val="left" w:pos="5400"/>
      </w:tabs>
      <w:ind w:left="5400"/>
    </w:pPr>
  </w:style>
  <w:style w:type="paragraph" w:customStyle="1" w:styleId="N7-3Block">
    <w:name w:val="N7-3&quot; Block"/>
    <w:basedOn w:val="Normal"/>
    <w:rsid w:val="008C00A4"/>
    <w:pPr>
      <w:tabs>
        <w:tab w:val="left" w:pos="1152"/>
      </w:tabs>
      <w:ind w:left="1152" w:right="1152"/>
    </w:pPr>
  </w:style>
  <w:style w:type="paragraph" w:customStyle="1" w:styleId="N8-QxQBlock">
    <w:name w:val="N8-QxQ Block"/>
    <w:rsid w:val="008C00A4"/>
    <w:pPr>
      <w:tabs>
        <w:tab w:val="left" w:pos="1152"/>
      </w:tabs>
      <w:spacing w:after="360" w:line="360" w:lineRule="atLeast"/>
      <w:ind w:left="1152" w:hanging="1152"/>
      <w:jc w:val="both"/>
    </w:pPr>
    <w:rPr>
      <w:sz w:val="22"/>
    </w:rPr>
  </w:style>
  <w:style w:type="paragraph" w:customStyle="1" w:styleId="P1-StandPara">
    <w:name w:val="P1-Stand Para"/>
    <w:rsid w:val="008C00A4"/>
    <w:pPr>
      <w:spacing w:line="360" w:lineRule="atLeast"/>
      <w:ind w:firstLine="1152"/>
      <w:jc w:val="both"/>
    </w:pPr>
    <w:rPr>
      <w:sz w:val="22"/>
    </w:rPr>
  </w:style>
  <w:style w:type="paragraph" w:customStyle="1" w:styleId="Q1-BestFinQ">
    <w:name w:val="Q1-Best/Fin Q"/>
    <w:rsid w:val="008C00A4"/>
    <w:pPr>
      <w:tabs>
        <w:tab w:val="left" w:pos="1152"/>
      </w:tabs>
      <w:spacing w:after="360" w:line="240" w:lineRule="atLeast"/>
      <w:ind w:left="1152" w:hanging="1152"/>
      <w:jc w:val="both"/>
    </w:pPr>
    <w:rPr>
      <w:b/>
      <w:sz w:val="22"/>
    </w:rPr>
  </w:style>
  <w:style w:type="paragraph" w:customStyle="1" w:styleId="SH-SglSpHead">
    <w:name w:val="SH-Sgl Sp Head"/>
    <w:rsid w:val="008C00A4"/>
    <w:pPr>
      <w:keepNext/>
      <w:tabs>
        <w:tab w:val="left" w:pos="576"/>
      </w:tabs>
      <w:spacing w:line="240" w:lineRule="atLeast"/>
      <w:ind w:left="576" w:hanging="576"/>
    </w:pPr>
    <w:rPr>
      <w:b/>
      <w:sz w:val="22"/>
    </w:rPr>
  </w:style>
  <w:style w:type="paragraph" w:customStyle="1" w:styleId="SL-FlLftSgl">
    <w:name w:val="SL-Fl Lft Sgl"/>
    <w:link w:val="SL-FlLftSglChar"/>
    <w:uiPriority w:val="99"/>
    <w:rsid w:val="008C00A4"/>
    <w:pPr>
      <w:spacing w:line="240" w:lineRule="atLeast"/>
      <w:jc w:val="both"/>
    </w:pPr>
    <w:rPr>
      <w:sz w:val="22"/>
    </w:rPr>
  </w:style>
  <w:style w:type="paragraph" w:customStyle="1" w:styleId="SP-SglSpPara">
    <w:name w:val="SP-Sgl Sp Para"/>
    <w:rsid w:val="008C00A4"/>
    <w:pPr>
      <w:tabs>
        <w:tab w:val="left" w:pos="576"/>
      </w:tabs>
      <w:spacing w:line="240" w:lineRule="atLeast"/>
      <w:ind w:firstLine="576"/>
      <w:jc w:val="both"/>
    </w:pPr>
    <w:rPr>
      <w:sz w:val="22"/>
    </w:rPr>
  </w:style>
  <w:style w:type="paragraph" w:customStyle="1" w:styleId="T0-ChapPgHd">
    <w:name w:val="T0-Chap/Pg Hd"/>
    <w:rsid w:val="008C00A4"/>
    <w:pPr>
      <w:tabs>
        <w:tab w:val="left" w:pos="8640"/>
      </w:tabs>
      <w:spacing w:line="240" w:lineRule="atLeast"/>
      <w:jc w:val="both"/>
    </w:pPr>
    <w:rPr>
      <w:sz w:val="22"/>
      <w:u w:val="words"/>
    </w:rPr>
  </w:style>
  <w:style w:type="paragraph" w:styleId="TOC1">
    <w:name w:val="toc 1"/>
    <w:basedOn w:val="Normal"/>
    <w:autoRedefine/>
    <w:uiPriority w:val="39"/>
    <w:semiHidden/>
    <w:rsid w:val="008C00A4"/>
    <w:pPr>
      <w:tabs>
        <w:tab w:val="left" w:pos="1440"/>
        <w:tab w:val="right" w:leader="dot" w:pos="8208"/>
        <w:tab w:val="left" w:pos="8640"/>
      </w:tabs>
      <w:ind w:left="288"/>
      <w:jc w:val="left"/>
    </w:pPr>
    <w:rPr>
      <w:caps/>
    </w:rPr>
  </w:style>
  <w:style w:type="paragraph" w:styleId="TOC2">
    <w:name w:val="toc 2"/>
    <w:basedOn w:val="Normal"/>
    <w:autoRedefine/>
    <w:uiPriority w:val="39"/>
    <w:semiHidden/>
    <w:rsid w:val="008C00A4"/>
    <w:pPr>
      <w:tabs>
        <w:tab w:val="left" w:pos="2160"/>
        <w:tab w:val="right" w:leader="dot" w:pos="8208"/>
        <w:tab w:val="left" w:pos="8640"/>
      </w:tabs>
      <w:ind w:left="2160" w:hanging="720"/>
      <w:jc w:val="left"/>
    </w:pPr>
  </w:style>
  <w:style w:type="paragraph" w:styleId="TOC3">
    <w:name w:val="toc 3"/>
    <w:basedOn w:val="Normal"/>
    <w:autoRedefine/>
    <w:uiPriority w:val="39"/>
    <w:semiHidden/>
    <w:rsid w:val="008C00A4"/>
    <w:pPr>
      <w:tabs>
        <w:tab w:val="left" w:pos="3024"/>
        <w:tab w:val="right" w:leader="dot" w:pos="8208"/>
        <w:tab w:val="left" w:pos="8640"/>
      </w:tabs>
      <w:ind w:left="3024" w:hanging="864"/>
      <w:jc w:val="left"/>
    </w:pPr>
  </w:style>
  <w:style w:type="paragraph" w:styleId="TOC4">
    <w:name w:val="toc 4"/>
    <w:basedOn w:val="Normal"/>
    <w:autoRedefine/>
    <w:uiPriority w:val="39"/>
    <w:semiHidden/>
    <w:rsid w:val="008C00A4"/>
    <w:pPr>
      <w:tabs>
        <w:tab w:val="left" w:pos="3888"/>
        <w:tab w:val="right" w:leader="dot" w:pos="8208"/>
        <w:tab w:val="left" w:pos="8640"/>
      </w:tabs>
      <w:ind w:left="3888" w:hanging="864"/>
      <w:jc w:val="left"/>
    </w:pPr>
  </w:style>
  <w:style w:type="paragraph" w:styleId="TOC5">
    <w:name w:val="toc 5"/>
    <w:basedOn w:val="TOC1"/>
    <w:autoRedefine/>
    <w:uiPriority w:val="39"/>
    <w:semiHidden/>
    <w:rsid w:val="008C00A4"/>
    <w:rPr>
      <w:caps w:val="0"/>
    </w:rPr>
  </w:style>
  <w:style w:type="paragraph" w:customStyle="1" w:styleId="TT-TableTitle">
    <w:name w:val="TT-Table Title"/>
    <w:rsid w:val="008C00A4"/>
    <w:pPr>
      <w:tabs>
        <w:tab w:val="left" w:pos="1152"/>
      </w:tabs>
      <w:spacing w:line="240" w:lineRule="atLeast"/>
      <w:ind w:left="1152" w:hanging="1152"/>
    </w:pPr>
    <w:rPr>
      <w:sz w:val="22"/>
    </w:rPr>
  </w:style>
  <w:style w:type="paragraph" w:styleId="Footer">
    <w:name w:val="footer"/>
    <w:basedOn w:val="Normal"/>
    <w:link w:val="FooterChar"/>
    <w:uiPriority w:val="99"/>
    <w:rsid w:val="008C00A4"/>
    <w:pPr>
      <w:tabs>
        <w:tab w:val="center" w:pos="4320"/>
        <w:tab w:val="right" w:pos="8640"/>
      </w:tabs>
    </w:pPr>
  </w:style>
  <w:style w:type="character" w:customStyle="1" w:styleId="FooterChar">
    <w:name w:val="Footer Char"/>
    <w:link w:val="Footer"/>
    <w:uiPriority w:val="99"/>
    <w:locked/>
    <w:rsid w:val="00BD7542"/>
    <w:rPr>
      <w:sz w:val="22"/>
    </w:rPr>
  </w:style>
  <w:style w:type="paragraph" w:styleId="Header">
    <w:name w:val="header"/>
    <w:basedOn w:val="Normal"/>
    <w:link w:val="HeaderChar"/>
    <w:uiPriority w:val="99"/>
    <w:rsid w:val="008C00A4"/>
    <w:pPr>
      <w:tabs>
        <w:tab w:val="center" w:pos="4320"/>
        <w:tab w:val="right" w:pos="8640"/>
      </w:tabs>
    </w:pPr>
    <w:rPr>
      <w:sz w:val="16"/>
    </w:rPr>
  </w:style>
  <w:style w:type="character" w:customStyle="1" w:styleId="HeaderChar">
    <w:name w:val="Header Char"/>
    <w:link w:val="Header"/>
    <w:uiPriority w:val="99"/>
    <w:locked/>
    <w:rsid w:val="00035E8F"/>
    <w:rPr>
      <w:sz w:val="16"/>
    </w:rPr>
  </w:style>
  <w:style w:type="paragraph" w:styleId="BodyTextIndent">
    <w:name w:val="Body Text Indent"/>
    <w:basedOn w:val="Normal"/>
    <w:link w:val="BodyTextIndentChar"/>
    <w:uiPriority w:val="99"/>
    <w:rsid w:val="008C00A4"/>
    <w:pPr>
      <w:ind w:left="720"/>
    </w:pPr>
    <w:rPr>
      <w:sz w:val="24"/>
    </w:rPr>
  </w:style>
  <w:style w:type="character" w:customStyle="1" w:styleId="BodyTextIndentChar">
    <w:name w:val="Body Text Indent Char"/>
    <w:link w:val="BodyTextIndent"/>
    <w:uiPriority w:val="99"/>
    <w:semiHidden/>
    <w:rsid w:val="006C20F7"/>
    <w:rPr>
      <w:sz w:val="22"/>
    </w:rPr>
  </w:style>
  <w:style w:type="character" w:styleId="PageNumber">
    <w:name w:val="page number"/>
    <w:uiPriority w:val="99"/>
    <w:rsid w:val="008C00A4"/>
    <w:rPr>
      <w:rFonts w:cs="Times New Roman"/>
    </w:rPr>
  </w:style>
  <w:style w:type="paragraph" w:styleId="Title">
    <w:name w:val="Title"/>
    <w:basedOn w:val="Normal"/>
    <w:link w:val="TitleChar"/>
    <w:uiPriority w:val="10"/>
    <w:qFormat/>
    <w:rsid w:val="008C00A4"/>
    <w:pPr>
      <w:jc w:val="center"/>
    </w:pPr>
    <w:rPr>
      <w:b/>
      <w:sz w:val="24"/>
    </w:rPr>
  </w:style>
  <w:style w:type="character" w:customStyle="1" w:styleId="TitleChar">
    <w:name w:val="Title Char"/>
    <w:link w:val="Title"/>
    <w:uiPriority w:val="10"/>
    <w:rsid w:val="006C20F7"/>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8C00A4"/>
    <w:pPr>
      <w:jc w:val="center"/>
    </w:pPr>
    <w:rPr>
      <w:b/>
      <w:sz w:val="24"/>
    </w:rPr>
  </w:style>
  <w:style w:type="character" w:customStyle="1" w:styleId="SubtitleChar">
    <w:name w:val="Subtitle Char"/>
    <w:link w:val="Subtitle"/>
    <w:uiPriority w:val="11"/>
    <w:rsid w:val="006C20F7"/>
    <w:rPr>
      <w:rFonts w:ascii="Cambria" w:eastAsia="Times New Roman" w:hAnsi="Cambria" w:cs="Times New Roman"/>
      <w:sz w:val="24"/>
      <w:szCs w:val="24"/>
    </w:rPr>
  </w:style>
  <w:style w:type="character" w:styleId="Hyperlink">
    <w:name w:val="Hyperlink"/>
    <w:uiPriority w:val="99"/>
    <w:rsid w:val="008C00A4"/>
    <w:rPr>
      <w:color w:val="0000FF"/>
      <w:u w:val="single"/>
    </w:rPr>
  </w:style>
  <w:style w:type="character" w:styleId="CommentReference">
    <w:name w:val="annotation reference"/>
    <w:uiPriority w:val="99"/>
    <w:semiHidden/>
    <w:rsid w:val="008C00A4"/>
    <w:rPr>
      <w:sz w:val="16"/>
    </w:rPr>
  </w:style>
  <w:style w:type="paragraph" w:styleId="CommentText">
    <w:name w:val="annotation text"/>
    <w:basedOn w:val="Normal"/>
    <w:link w:val="CommentTextChar"/>
    <w:uiPriority w:val="99"/>
    <w:rsid w:val="008C00A4"/>
    <w:rPr>
      <w:sz w:val="20"/>
    </w:rPr>
  </w:style>
  <w:style w:type="character" w:customStyle="1" w:styleId="CommentTextChar">
    <w:name w:val="Comment Text Char"/>
    <w:basedOn w:val="DefaultParagraphFont"/>
    <w:link w:val="CommentText"/>
    <w:uiPriority w:val="99"/>
    <w:semiHidden/>
    <w:rsid w:val="006C20F7"/>
  </w:style>
  <w:style w:type="paragraph" w:styleId="BodyText">
    <w:name w:val="Body Text"/>
    <w:basedOn w:val="Normal"/>
    <w:link w:val="BodyTextChar"/>
    <w:uiPriority w:val="99"/>
    <w:rsid w:val="008C00A4"/>
    <w:pPr>
      <w:spacing w:after="240"/>
      <w:ind w:left="1080"/>
    </w:pPr>
    <w:rPr>
      <w:rFonts w:ascii="Arial" w:hAnsi="Arial"/>
      <w:spacing w:val="-5"/>
      <w:sz w:val="20"/>
    </w:rPr>
  </w:style>
  <w:style w:type="character" w:customStyle="1" w:styleId="BodyTextChar">
    <w:name w:val="Body Text Char"/>
    <w:link w:val="BodyText"/>
    <w:uiPriority w:val="99"/>
    <w:semiHidden/>
    <w:rsid w:val="006C20F7"/>
    <w:rPr>
      <w:sz w:val="22"/>
    </w:rPr>
  </w:style>
  <w:style w:type="paragraph" w:styleId="BalloonText">
    <w:name w:val="Balloon Text"/>
    <w:basedOn w:val="Normal"/>
    <w:link w:val="BalloonTextChar"/>
    <w:uiPriority w:val="99"/>
    <w:semiHidden/>
    <w:rsid w:val="008C00A4"/>
    <w:rPr>
      <w:rFonts w:ascii="Tahoma" w:hAnsi="Tahoma" w:cs="Tahoma"/>
      <w:sz w:val="16"/>
      <w:szCs w:val="16"/>
    </w:rPr>
  </w:style>
  <w:style w:type="character" w:customStyle="1" w:styleId="BalloonTextChar">
    <w:name w:val="Balloon Text Char"/>
    <w:link w:val="BalloonText"/>
    <w:uiPriority w:val="99"/>
    <w:semiHidden/>
    <w:rsid w:val="006C20F7"/>
    <w:rPr>
      <w:sz w:val="0"/>
      <w:szCs w:val="0"/>
    </w:rPr>
  </w:style>
  <w:style w:type="paragraph" w:styleId="CommentSubject">
    <w:name w:val="annotation subject"/>
    <w:basedOn w:val="CommentText"/>
    <w:next w:val="CommentText"/>
    <w:link w:val="CommentSubjectChar"/>
    <w:uiPriority w:val="99"/>
    <w:semiHidden/>
    <w:rsid w:val="008C00A4"/>
    <w:rPr>
      <w:b/>
      <w:bCs/>
    </w:rPr>
  </w:style>
  <w:style w:type="character" w:customStyle="1" w:styleId="CommentSubjectChar">
    <w:name w:val="Comment Subject Char"/>
    <w:link w:val="CommentSubject"/>
    <w:uiPriority w:val="99"/>
    <w:semiHidden/>
    <w:rsid w:val="006C20F7"/>
    <w:rPr>
      <w:b/>
      <w:bCs/>
    </w:rPr>
  </w:style>
  <w:style w:type="character" w:styleId="Strong">
    <w:name w:val="Strong"/>
    <w:uiPriority w:val="22"/>
    <w:qFormat/>
    <w:rsid w:val="008C00A4"/>
    <w:rPr>
      <w:b/>
    </w:rPr>
  </w:style>
  <w:style w:type="character" w:customStyle="1" w:styleId="SL-FlLftSglChar">
    <w:name w:val="SL-Fl Lft Sgl Char"/>
    <w:link w:val="SL-FlLftSgl"/>
    <w:uiPriority w:val="99"/>
    <w:locked/>
    <w:rsid w:val="004121A8"/>
    <w:rPr>
      <w:sz w:val="22"/>
      <w:lang w:val="en-US" w:eastAsia="en-US" w:bidi="ar-SA"/>
    </w:rPr>
  </w:style>
  <w:style w:type="table" w:styleId="TableGrid">
    <w:name w:val="Table Grid"/>
    <w:basedOn w:val="TableNormal"/>
    <w:uiPriority w:val="59"/>
    <w:rsid w:val="001C1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011423"/>
    <w:rPr>
      <w:color w:val="800080"/>
      <w:u w:val="single"/>
    </w:rPr>
  </w:style>
  <w:style w:type="paragraph" w:styleId="ListParagraph">
    <w:name w:val="List Paragraph"/>
    <w:basedOn w:val="Normal"/>
    <w:uiPriority w:val="34"/>
    <w:qFormat/>
    <w:rsid w:val="002A3C47"/>
    <w:pPr>
      <w:spacing w:line="240" w:lineRule="auto"/>
      <w:ind w:left="720"/>
      <w:contextualSpacing/>
      <w:jc w:val="left"/>
    </w:pPr>
    <w:rPr>
      <w:sz w:val="24"/>
      <w:szCs w:val="24"/>
    </w:rPr>
  </w:style>
  <w:style w:type="paragraph" w:styleId="Revision">
    <w:name w:val="Revision"/>
    <w:hidden/>
    <w:uiPriority w:val="99"/>
    <w:semiHidden/>
    <w:rsid w:val="007D023B"/>
    <w:rPr>
      <w:sz w:val="22"/>
    </w:rPr>
  </w:style>
  <w:style w:type="character" w:styleId="Mention">
    <w:name w:val="Mention"/>
    <w:basedOn w:val="DefaultParagraphFont"/>
    <w:uiPriority w:val="99"/>
    <w:semiHidden/>
    <w:unhideWhenUsed/>
    <w:rsid w:val="00854AFB"/>
    <w:rPr>
      <w:color w:val="2B579A"/>
      <w:shd w:val="clear" w:color="auto" w:fill="E6E6E6"/>
    </w:rPr>
  </w:style>
  <w:style w:type="character" w:styleId="UnresolvedMention">
    <w:name w:val="Unresolved Mention"/>
    <w:basedOn w:val="DefaultParagraphFont"/>
    <w:uiPriority w:val="99"/>
    <w:semiHidden/>
    <w:unhideWhenUsed/>
    <w:rsid w:val="0085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5927">
      <w:bodyDiv w:val="1"/>
      <w:marLeft w:val="0"/>
      <w:marRight w:val="0"/>
      <w:marTop w:val="0"/>
      <w:marBottom w:val="0"/>
      <w:divBdr>
        <w:top w:val="none" w:sz="0" w:space="0" w:color="auto"/>
        <w:left w:val="none" w:sz="0" w:space="0" w:color="auto"/>
        <w:bottom w:val="none" w:sz="0" w:space="0" w:color="auto"/>
        <w:right w:val="none" w:sz="0" w:space="0" w:color="auto"/>
      </w:divBdr>
    </w:div>
    <w:div w:id="440226984">
      <w:bodyDiv w:val="1"/>
      <w:marLeft w:val="0"/>
      <w:marRight w:val="0"/>
      <w:marTop w:val="0"/>
      <w:marBottom w:val="0"/>
      <w:divBdr>
        <w:top w:val="none" w:sz="0" w:space="0" w:color="auto"/>
        <w:left w:val="none" w:sz="0" w:space="0" w:color="auto"/>
        <w:bottom w:val="none" w:sz="0" w:space="0" w:color="auto"/>
        <w:right w:val="none" w:sz="0" w:space="0" w:color="auto"/>
      </w:divBdr>
    </w:div>
    <w:div w:id="825435920">
      <w:bodyDiv w:val="1"/>
      <w:marLeft w:val="0"/>
      <w:marRight w:val="0"/>
      <w:marTop w:val="0"/>
      <w:marBottom w:val="0"/>
      <w:divBdr>
        <w:top w:val="none" w:sz="0" w:space="0" w:color="auto"/>
        <w:left w:val="none" w:sz="0" w:space="0" w:color="auto"/>
        <w:bottom w:val="none" w:sz="0" w:space="0" w:color="auto"/>
        <w:right w:val="none" w:sz="0" w:space="0" w:color="auto"/>
      </w:divBdr>
    </w:div>
    <w:div w:id="1240602430">
      <w:marLeft w:val="0"/>
      <w:marRight w:val="0"/>
      <w:marTop w:val="0"/>
      <w:marBottom w:val="0"/>
      <w:divBdr>
        <w:top w:val="none" w:sz="0" w:space="0" w:color="auto"/>
        <w:left w:val="none" w:sz="0" w:space="0" w:color="auto"/>
        <w:bottom w:val="none" w:sz="0" w:space="0" w:color="auto"/>
        <w:right w:val="none" w:sz="0" w:space="0" w:color="auto"/>
      </w:divBdr>
    </w:div>
    <w:div w:id="1240602431">
      <w:marLeft w:val="0"/>
      <w:marRight w:val="0"/>
      <w:marTop w:val="0"/>
      <w:marBottom w:val="0"/>
      <w:divBdr>
        <w:top w:val="none" w:sz="0" w:space="0" w:color="auto"/>
        <w:left w:val="none" w:sz="0" w:space="0" w:color="auto"/>
        <w:bottom w:val="none" w:sz="0" w:space="0" w:color="auto"/>
        <w:right w:val="none" w:sz="0" w:space="0" w:color="auto"/>
      </w:divBdr>
      <w:divsChild>
        <w:div w:id="1240602432">
          <w:marLeft w:val="720"/>
          <w:marRight w:val="0"/>
          <w:marTop w:val="100"/>
          <w:marBottom w:val="100"/>
          <w:divBdr>
            <w:top w:val="none" w:sz="0" w:space="0" w:color="auto"/>
            <w:left w:val="none" w:sz="0" w:space="0" w:color="auto"/>
            <w:bottom w:val="none" w:sz="0" w:space="0" w:color="auto"/>
            <w:right w:val="none" w:sz="0" w:space="0" w:color="auto"/>
          </w:divBdr>
          <w:divsChild>
            <w:div w:id="1240602429">
              <w:marLeft w:val="720"/>
              <w:marRight w:val="0"/>
              <w:marTop w:val="100"/>
              <w:marBottom w:val="100"/>
              <w:divBdr>
                <w:top w:val="none" w:sz="0" w:space="0" w:color="auto"/>
                <w:left w:val="none" w:sz="0" w:space="0" w:color="auto"/>
                <w:bottom w:val="none" w:sz="0" w:space="0" w:color="auto"/>
                <w:right w:val="none" w:sz="0" w:space="0" w:color="auto"/>
              </w:divBdr>
              <w:divsChild>
                <w:div w:id="12406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1873">
      <w:bodyDiv w:val="1"/>
      <w:marLeft w:val="0"/>
      <w:marRight w:val="0"/>
      <w:marTop w:val="0"/>
      <w:marBottom w:val="0"/>
      <w:divBdr>
        <w:top w:val="none" w:sz="0" w:space="0" w:color="auto"/>
        <w:left w:val="none" w:sz="0" w:space="0" w:color="auto"/>
        <w:bottom w:val="none" w:sz="0" w:space="0" w:color="auto"/>
        <w:right w:val="none" w:sz="0" w:space="0" w:color="auto"/>
      </w:divBdr>
    </w:div>
    <w:div w:id="1534885709">
      <w:bodyDiv w:val="1"/>
      <w:marLeft w:val="0"/>
      <w:marRight w:val="0"/>
      <w:marTop w:val="0"/>
      <w:marBottom w:val="0"/>
      <w:divBdr>
        <w:top w:val="none" w:sz="0" w:space="0" w:color="auto"/>
        <w:left w:val="none" w:sz="0" w:space="0" w:color="auto"/>
        <w:bottom w:val="none" w:sz="0" w:space="0" w:color="auto"/>
        <w:right w:val="none" w:sz="0" w:space="0" w:color="auto"/>
      </w:divBdr>
    </w:div>
    <w:div w:id="1753701122">
      <w:bodyDiv w:val="1"/>
      <w:marLeft w:val="0"/>
      <w:marRight w:val="0"/>
      <w:marTop w:val="0"/>
      <w:marBottom w:val="0"/>
      <w:divBdr>
        <w:top w:val="none" w:sz="0" w:space="0" w:color="auto"/>
        <w:left w:val="none" w:sz="0" w:space="0" w:color="auto"/>
        <w:bottom w:val="none" w:sz="0" w:space="0" w:color="auto"/>
        <w:right w:val="none" w:sz="0" w:space="0" w:color="auto"/>
      </w:divBdr>
    </w:div>
    <w:div w:id="21333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vention.cancer.gov/sites/default/files/uploads/clinical_trial/protocol_status_update_form.docx" TargetMode="External"/><Relationship Id="rId13" Type="http://schemas.openxmlformats.org/officeDocument/2006/relationships/hyperlink" Target="https://prevention.cancer.gov/sites/default/files/uploads/clinical_trial/SOP13b-C2012-Final-Data-Set.pdf" TargetMode="External"/><Relationship Id="rId18" Type="http://schemas.openxmlformats.org/officeDocument/2006/relationships/hyperlink" Target="mailto:C2012Biospecimens@mail.nih.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biit.cancer.gov/extramural-grantees-submitting-data" TargetMode="External"/><Relationship Id="rId7" Type="http://schemas.openxmlformats.org/officeDocument/2006/relationships/endnotes" Target="endnotes.xml"/><Relationship Id="rId12" Type="http://schemas.openxmlformats.org/officeDocument/2006/relationships/hyperlink" Target="mailto:dcphelpdesk@dcpais.com" TargetMode="External"/><Relationship Id="rId17" Type="http://schemas.openxmlformats.org/officeDocument/2006/relationships/hyperlink" Target="mailto:diazmayoraln@mail.nih.go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revention.cancer.gov/sites/default/files/uploads/clinical_trial/SOP13c-C2012-Material-Transfer-Manifest.xls" TargetMode="External"/><Relationship Id="rId20" Type="http://schemas.openxmlformats.org/officeDocument/2006/relationships/hyperlink" Target="https://osp.od.nih.gov/scientific-sharing/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ention.cancer.gov/sites/default/files/uploads/clinical_trial/DCP-Acronym-List.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2012Biospecimens@mail.nih.gov" TargetMode="External"/><Relationship Id="rId23" Type="http://schemas.openxmlformats.org/officeDocument/2006/relationships/header" Target="header1.xml"/><Relationship Id="rId10" Type="http://schemas.openxmlformats.org/officeDocument/2006/relationships/hyperlink" Target="https://prevention.cancer.gov/sites/default/files/uploads/clinical_trial/SOP13c-C2012-Material-Transfer-Manifest.xls" TargetMode="External"/><Relationship Id="rId19" Type="http://schemas.openxmlformats.org/officeDocument/2006/relationships/hyperlink" Target="https://cbiit.cancer.gov/data-sharing" TargetMode="External"/><Relationship Id="rId4" Type="http://schemas.openxmlformats.org/officeDocument/2006/relationships/settings" Target="settings.xml"/><Relationship Id="rId9" Type="http://schemas.openxmlformats.org/officeDocument/2006/relationships/hyperlink" Target="http://osp.od.nih.gov/office-biotechnology-activities/biosafety/nih-guidelines" TargetMode="External"/><Relationship Id="rId14" Type="http://schemas.openxmlformats.org/officeDocument/2006/relationships/hyperlink" Target="https://cdas.cancer.gov/eppt/" TargetMode="External"/><Relationship Id="rId22" Type="http://schemas.openxmlformats.org/officeDocument/2006/relationships/hyperlink" Target="https://prevention.cancer.gov/sites/default/files/uploads/clinical_trial/SOP13d-C2012-Study-Unblinding-Worksheet_0.x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89C86-150A-4A1B-88E5-CB4D38B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DCP Consortia Standard Operating Procedures</vt:lpstr>
    </vt:vector>
  </TitlesOfParts>
  <Company>Westat</Company>
  <LinksUpToDate>false</LinksUpToDate>
  <CharactersWithSpaces>17885</CharactersWithSpaces>
  <SharedDoc>false</SharedDoc>
  <HLinks>
    <vt:vector size="54" baseType="variant">
      <vt:variant>
        <vt:i4>7208963</vt:i4>
      </vt:variant>
      <vt:variant>
        <vt:i4>24</vt:i4>
      </vt:variant>
      <vt:variant>
        <vt:i4>0</vt:i4>
      </vt:variant>
      <vt:variant>
        <vt:i4>5</vt:i4>
      </vt:variant>
      <vt:variant>
        <vt:lpwstr>https://gds.nih.gov/Institutional_Certifications.html</vt:lpwstr>
      </vt:variant>
      <vt:variant>
        <vt:lpwstr/>
      </vt:variant>
      <vt:variant>
        <vt:i4>7208963</vt:i4>
      </vt:variant>
      <vt:variant>
        <vt:i4>21</vt:i4>
      </vt:variant>
      <vt:variant>
        <vt:i4>0</vt:i4>
      </vt:variant>
      <vt:variant>
        <vt:i4>5</vt:i4>
      </vt:variant>
      <vt:variant>
        <vt:lpwstr>https://gds.nih.gov/Institutional_Certifications.html</vt:lpwstr>
      </vt:variant>
      <vt:variant>
        <vt:lpwstr/>
      </vt:variant>
      <vt:variant>
        <vt:i4>5832770</vt:i4>
      </vt:variant>
      <vt:variant>
        <vt:i4>18</vt:i4>
      </vt:variant>
      <vt:variant>
        <vt:i4>0</vt:i4>
      </vt:variant>
      <vt:variant>
        <vt:i4>5</vt:i4>
      </vt:variant>
      <vt:variant>
        <vt:lpwstr>http://www.cancer.gov/grants-training/grants-management/nci-policies/genomic-data/submission/basic-study-information.pdf</vt:lpwstr>
      </vt:variant>
      <vt:variant>
        <vt:lpwstr/>
      </vt:variant>
      <vt:variant>
        <vt:i4>3997810</vt:i4>
      </vt:variant>
      <vt:variant>
        <vt:i4>15</vt:i4>
      </vt:variant>
      <vt:variant>
        <vt:i4>0</vt:i4>
      </vt:variant>
      <vt:variant>
        <vt:i4>5</vt:i4>
      </vt:variant>
      <vt:variant>
        <vt:lpwstr>http://www.cancer.gov/grants-training/grants-management/nci-policies/genomic-data/submission/extramural</vt:lpwstr>
      </vt:variant>
      <vt:variant>
        <vt:lpwstr/>
      </vt:variant>
      <vt:variant>
        <vt:i4>1704013</vt:i4>
      </vt:variant>
      <vt:variant>
        <vt:i4>12</vt:i4>
      </vt:variant>
      <vt:variant>
        <vt:i4>0</vt:i4>
      </vt:variant>
      <vt:variant>
        <vt:i4>5</vt:i4>
      </vt:variant>
      <vt:variant>
        <vt:lpwstr>http://www.cancer.gov/grants-training/grants-management/nci-policies/genomic-data</vt:lpwstr>
      </vt:variant>
      <vt:variant>
        <vt:lpwstr/>
      </vt:variant>
      <vt:variant>
        <vt:i4>5308520</vt:i4>
      </vt:variant>
      <vt:variant>
        <vt:i4>9</vt:i4>
      </vt:variant>
      <vt:variant>
        <vt:i4>0</vt:i4>
      </vt:variant>
      <vt:variant>
        <vt:i4>5</vt:i4>
      </vt:variant>
      <vt:variant>
        <vt:lpwstr>mailto:dcphelpdesk@dcpais.com</vt:lpwstr>
      </vt:variant>
      <vt:variant>
        <vt:lpwstr/>
      </vt:variant>
      <vt:variant>
        <vt:i4>131122</vt:i4>
      </vt:variant>
      <vt:variant>
        <vt:i4>6</vt:i4>
      </vt:variant>
      <vt:variant>
        <vt:i4>0</vt:i4>
      </vt:variant>
      <vt:variant>
        <vt:i4>5</vt:i4>
      </vt:variant>
      <vt:variant>
        <vt:lpwstr>http://prevention.cancer.gov/sites/default/files/uploads/clinical_trial/DCPAcronymList.doc</vt:lpwstr>
      </vt:variant>
      <vt:variant>
        <vt:lpwstr/>
      </vt:variant>
      <vt:variant>
        <vt:i4>1507411</vt:i4>
      </vt:variant>
      <vt:variant>
        <vt:i4>3</vt:i4>
      </vt:variant>
      <vt:variant>
        <vt:i4>0</vt:i4>
      </vt:variant>
      <vt:variant>
        <vt:i4>5</vt:i4>
      </vt:variant>
      <vt:variant>
        <vt:lpwstr>http://prevention.cancer.gov/clinical-trials/clinical-trials-management/protocol-information-office/pio-instructions-and-tools/2012-consortia</vt:lpwstr>
      </vt:variant>
      <vt:variant>
        <vt:lpwstr/>
      </vt:variant>
      <vt:variant>
        <vt:i4>4128830</vt:i4>
      </vt:variant>
      <vt:variant>
        <vt:i4>0</vt:i4>
      </vt:variant>
      <vt:variant>
        <vt:i4>0</vt:i4>
      </vt:variant>
      <vt:variant>
        <vt:i4>5</vt:i4>
      </vt:variant>
      <vt:variant>
        <vt:lpwstr>http://osp.od.nih.gov/office-biotechnology-activities/biosafety/nih-guidelines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DCP Consortia Standard Operating Procedures</dc:title>
  <dc:subject>Reviewing and Amending The Division of Cancer Prevention Consortia Standard Operating Procedures</dc:subject>
  <dc:creator>NCI Division of Cancer Prevention</dc:creator>
  <cp:keywords>DCP, Standard Operating Procedure, Reviewing and Amending the Division of Cancer Prevention Consortia Standards Operating Procedures</cp:keywords>
  <dc:description/>
  <cp:lastModifiedBy>Bengtson, Lisa (NIH/NCI) [E]</cp:lastModifiedBy>
  <cp:revision>5</cp:revision>
  <cp:lastPrinted>2020-01-21T16:41:00Z</cp:lastPrinted>
  <dcterms:created xsi:type="dcterms:W3CDTF">2022-01-31T19:30:00Z</dcterms:created>
  <dcterms:modified xsi:type="dcterms:W3CDTF">2022-01-31T20:25:00Z</dcterms:modified>
</cp:coreProperties>
</file>