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4DEC" w14:textId="77777777" w:rsidR="00120CF4" w:rsidRDefault="00C63FA5" w:rsidP="00A93F72">
      <w:pPr>
        <w:pStyle w:val="Heading2"/>
        <w:spacing w:after="0"/>
      </w:pPr>
      <w:r w:rsidRPr="00C63FA5">
        <w:t>SOP 6:  Participant Recruitment, Retention and Adherence</w:t>
      </w:r>
      <w:r w:rsidR="003C1E13">
        <w:t xml:space="preserve"> </w:t>
      </w:r>
    </w:p>
    <w:p w14:paraId="02465EA9" w14:textId="77777777" w:rsidR="0082079E" w:rsidRPr="00A657C5" w:rsidRDefault="0082079E" w:rsidP="003C1E13">
      <w:pPr>
        <w:pStyle w:val="Heading3"/>
        <w:spacing w:before="120" w:after="100" w:afterAutospacing="1" w:line="240" w:lineRule="auto"/>
      </w:pPr>
      <w:r w:rsidRPr="00A657C5">
        <w:t>Overview:</w:t>
      </w:r>
    </w:p>
    <w:p w14:paraId="60AA19B0" w14:textId="416DB56E" w:rsidR="00A535ED" w:rsidRDefault="00AE1DC9" w:rsidP="008C3E20">
      <w:pPr>
        <w:pStyle w:val="ListParagraph"/>
        <w:autoSpaceDE w:val="0"/>
        <w:autoSpaceDN w:val="0"/>
        <w:adjustRightInd w:val="0"/>
        <w:spacing w:after="100" w:afterAutospacing="1" w:line="240" w:lineRule="auto"/>
        <w:ind w:left="360"/>
        <w:contextualSpacing w:val="0"/>
        <w:jc w:val="both"/>
        <w:rPr>
          <w:rFonts w:ascii="Times New Roman" w:hAnsi="Times New Roman"/>
          <w:color w:val="000000"/>
        </w:rPr>
      </w:pPr>
      <w:r w:rsidRPr="00AE1DC9">
        <w:rPr>
          <w:rFonts w:ascii="Times New Roman" w:hAnsi="Times New Roman"/>
          <w:color w:val="000000"/>
        </w:rPr>
        <w:t>The Consortia Recruitment, Retention and Adherence policy is based on National Cancer Institute (NCI</w:t>
      </w:r>
      <w:r w:rsidR="00512670" w:rsidRPr="00AE1DC9">
        <w:rPr>
          <w:rFonts w:ascii="Times New Roman" w:hAnsi="Times New Roman"/>
          <w:color w:val="000000"/>
        </w:rPr>
        <w:t>)</w:t>
      </w:r>
      <w:r w:rsidR="00512670">
        <w:rPr>
          <w:rFonts w:ascii="Times New Roman" w:hAnsi="Times New Roman"/>
          <w:color w:val="000000"/>
        </w:rPr>
        <w:t>,</w:t>
      </w:r>
      <w:r w:rsidR="00512670" w:rsidRPr="00AE1DC9">
        <w:rPr>
          <w:rFonts w:ascii="Times New Roman" w:hAnsi="Times New Roman"/>
          <w:color w:val="000000"/>
        </w:rPr>
        <w:t xml:space="preserve"> Division</w:t>
      </w:r>
      <w:r w:rsidRPr="00AE1DC9">
        <w:rPr>
          <w:rFonts w:ascii="Times New Roman" w:hAnsi="Times New Roman"/>
          <w:color w:val="000000"/>
        </w:rPr>
        <w:t xml:space="preserve"> of Cancer Prevention’s (DCP’s) Accrual Quality Improvement Program (AQuIP)</w:t>
      </w:r>
      <w:r w:rsidR="00113362">
        <w:rPr>
          <w:rFonts w:ascii="Times New Roman" w:hAnsi="Times New Roman"/>
          <w:color w:val="000000"/>
        </w:rPr>
        <w:t>.</w:t>
      </w:r>
      <w:r w:rsidRPr="00AE1DC9">
        <w:rPr>
          <w:rFonts w:ascii="Times New Roman" w:hAnsi="Times New Roman"/>
          <w:color w:val="000000"/>
        </w:rPr>
        <w:t xml:space="preserve"> The overall purpose of AQuIP</w:t>
      </w:r>
      <w:r w:rsidR="00550411">
        <w:rPr>
          <w:rFonts w:ascii="Times New Roman" w:hAnsi="Times New Roman"/>
          <w:color w:val="000000"/>
        </w:rPr>
        <w:t xml:space="preserve"> is </w:t>
      </w:r>
      <w:r w:rsidRPr="00AE1DC9">
        <w:rPr>
          <w:rFonts w:ascii="Times New Roman" w:hAnsi="Times New Roman"/>
          <w:color w:val="000000"/>
        </w:rPr>
        <w:t xml:space="preserve">to foster efficient conduct of clinical trials through efficient participant accrual, </w:t>
      </w:r>
      <w:r w:rsidR="00113362">
        <w:rPr>
          <w:rFonts w:ascii="Times New Roman" w:hAnsi="Times New Roman"/>
          <w:color w:val="000000"/>
        </w:rPr>
        <w:t xml:space="preserve">to </w:t>
      </w:r>
      <w:r w:rsidRPr="00AE1DC9">
        <w:rPr>
          <w:rFonts w:ascii="Times New Roman" w:hAnsi="Times New Roman"/>
          <w:color w:val="000000"/>
        </w:rPr>
        <w:t xml:space="preserve">support NCI/DCP’s mission to conduct ethical clinical prevention research, to maintain proper stewardship of public funds and to facilitate scientific progress. </w:t>
      </w:r>
    </w:p>
    <w:p w14:paraId="78A859CA" w14:textId="45506B1F" w:rsidR="00A535ED" w:rsidRDefault="00AE1DC9" w:rsidP="008C3E20">
      <w:pPr>
        <w:pStyle w:val="ListParagraph"/>
        <w:autoSpaceDE w:val="0"/>
        <w:autoSpaceDN w:val="0"/>
        <w:adjustRightInd w:val="0"/>
        <w:spacing w:after="100" w:afterAutospacing="1" w:line="240" w:lineRule="auto"/>
        <w:ind w:left="360"/>
        <w:contextualSpacing w:val="0"/>
        <w:jc w:val="both"/>
        <w:rPr>
          <w:rFonts w:ascii="Times New Roman" w:hAnsi="Times New Roman"/>
          <w:color w:val="000000"/>
        </w:rPr>
      </w:pPr>
      <w:r w:rsidRPr="00AE1DC9">
        <w:rPr>
          <w:rFonts w:ascii="Times New Roman" w:hAnsi="Times New Roman"/>
          <w:color w:val="000000"/>
        </w:rPr>
        <w:t>AQuIP is a dynamic clinical trial accrual improvement program that is based on systematic planning, ong</w:t>
      </w:r>
      <w:r w:rsidR="00A535ED">
        <w:rPr>
          <w:rFonts w:ascii="Times New Roman" w:hAnsi="Times New Roman"/>
          <w:color w:val="000000"/>
        </w:rPr>
        <w:t xml:space="preserve">oing accrual activity reporting, </w:t>
      </w:r>
      <w:r w:rsidRPr="00AE1DC9">
        <w:rPr>
          <w:rFonts w:ascii="Times New Roman" w:hAnsi="Times New Roman"/>
          <w:color w:val="000000"/>
        </w:rPr>
        <w:t xml:space="preserve">evaluation and responsive actions that lead to measurable improvement in accrual.  </w:t>
      </w:r>
    </w:p>
    <w:p w14:paraId="6D899DF4" w14:textId="77777777" w:rsidR="008C3E20" w:rsidRDefault="00AE1DC9" w:rsidP="008C3E20">
      <w:pPr>
        <w:pStyle w:val="ListParagraph"/>
        <w:autoSpaceDE w:val="0"/>
        <w:autoSpaceDN w:val="0"/>
        <w:adjustRightInd w:val="0"/>
        <w:spacing w:after="100" w:afterAutospacing="1" w:line="240" w:lineRule="auto"/>
        <w:ind w:left="360"/>
        <w:contextualSpacing w:val="0"/>
        <w:jc w:val="both"/>
        <w:rPr>
          <w:rFonts w:ascii="Times New Roman" w:hAnsi="Times New Roman"/>
          <w:color w:val="000000"/>
        </w:rPr>
      </w:pPr>
      <w:r w:rsidRPr="00AE1DC9">
        <w:rPr>
          <w:rFonts w:ascii="Times New Roman" w:hAnsi="Times New Roman"/>
          <w:color w:val="000000"/>
        </w:rPr>
        <w:t xml:space="preserve">AQuIP provides the CLOs and POs with </w:t>
      </w:r>
      <w:r w:rsidR="00CE2514" w:rsidRPr="00113362">
        <w:rPr>
          <w:rFonts w:ascii="Times New Roman" w:hAnsi="Times New Roman"/>
          <w:color w:val="000000"/>
        </w:rPr>
        <w:t>6</w:t>
      </w:r>
      <w:r w:rsidRPr="00AE1DC9">
        <w:rPr>
          <w:rFonts w:ascii="Times New Roman" w:hAnsi="Times New Roman"/>
          <w:color w:val="000000"/>
        </w:rPr>
        <w:t xml:space="preserve"> complementary tools</w:t>
      </w:r>
      <w:r w:rsidR="002A2E17">
        <w:rPr>
          <w:rFonts w:ascii="Times New Roman" w:hAnsi="Times New Roman"/>
          <w:color w:val="000000"/>
        </w:rPr>
        <w:t xml:space="preserve"> </w:t>
      </w:r>
      <w:r w:rsidR="001D382E">
        <w:rPr>
          <w:rFonts w:ascii="Times New Roman" w:hAnsi="Times New Roman"/>
          <w:color w:val="000000"/>
        </w:rPr>
        <w:t xml:space="preserve">accessible </w:t>
      </w:r>
      <w:r w:rsidR="002A2E17">
        <w:rPr>
          <w:rFonts w:ascii="Times New Roman" w:hAnsi="Times New Roman"/>
          <w:color w:val="000000"/>
        </w:rPr>
        <w:t xml:space="preserve">on </w:t>
      </w:r>
      <w:hyperlink r:id="rId8" w:history="1">
        <w:r w:rsidR="002A2E17" w:rsidRPr="002A2E17">
          <w:rPr>
            <w:rStyle w:val="Hyperlink"/>
            <w:rFonts w:ascii="Times New Roman" w:hAnsi="Times New Roman"/>
          </w:rPr>
          <w:t>dcpaquip.com</w:t>
        </w:r>
      </w:hyperlink>
      <w:r w:rsidRPr="00AE1DC9">
        <w:rPr>
          <w:rFonts w:ascii="Times New Roman" w:hAnsi="Times New Roman"/>
          <w:color w:val="000000"/>
        </w:rPr>
        <w:t>:</w:t>
      </w:r>
    </w:p>
    <w:p w14:paraId="537D9858" w14:textId="7EBD4E48" w:rsidR="003C1E13" w:rsidRDefault="00326FC0" w:rsidP="003C1E13">
      <w:pPr>
        <w:pStyle w:val="ListParagraph"/>
        <w:numPr>
          <w:ilvl w:val="0"/>
          <w:numId w:val="22"/>
        </w:numPr>
        <w:autoSpaceDE w:val="0"/>
        <w:autoSpaceDN w:val="0"/>
        <w:adjustRightInd w:val="0"/>
        <w:spacing w:after="120" w:line="240" w:lineRule="auto"/>
        <w:contextualSpacing w:val="0"/>
        <w:jc w:val="both"/>
        <w:rPr>
          <w:rFonts w:ascii="Times New Roman" w:hAnsi="Times New Roman"/>
        </w:rPr>
      </w:pPr>
      <w:hyperlink r:id="rId9" w:history="1">
        <w:r w:rsidR="00343035" w:rsidRPr="005F681D">
          <w:rPr>
            <w:rStyle w:val="Hyperlink"/>
            <w:rFonts w:ascii="Times New Roman" w:hAnsi="Times New Roman"/>
          </w:rPr>
          <w:t>Recruitment, Retention and Adherence (RRA) Plan Outline Template</w:t>
        </w:r>
      </w:hyperlink>
      <w:r w:rsidR="003C1E13" w:rsidRPr="005F681D">
        <w:rPr>
          <w:rFonts w:ascii="Times New Roman" w:hAnsi="Times New Roman"/>
        </w:rPr>
        <w:t>,</w:t>
      </w:r>
      <w:r w:rsidR="003C1E13" w:rsidRPr="003C1E13">
        <w:rPr>
          <w:rFonts w:ascii="Times New Roman" w:hAnsi="Times New Roman"/>
        </w:rPr>
        <w:t xml:space="preserve"> a comprehensive fillable PDF planning template</w:t>
      </w:r>
      <w:r w:rsidR="00D531DF">
        <w:rPr>
          <w:rFonts w:ascii="Times New Roman" w:hAnsi="Times New Roman"/>
        </w:rPr>
        <w:t>.</w:t>
      </w:r>
    </w:p>
    <w:p w14:paraId="144A47CE" w14:textId="03C87B8D" w:rsidR="003C1E13" w:rsidRDefault="00326FC0" w:rsidP="003C1E13">
      <w:pPr>
        <w:pStyle w:val="ListParagraph"/>
        <w:numPr>
          <w:ilvl w:val="0"/>
          <w:numId w:val="22"/>
        </w:numPr>
        <w:autoSpaceDE w:val="0"/>
        <w:autoSpaceDN w:val="0"/>
        <w:adjustRightInd w:val="0"/>
        <w:spacing w:after="120" w:line="240" w:lineRule="auto"/>
        <w:contextualSpacing w:val="0"/>
        <w:jc w:val="both"/>
        <w:rPr>
          <w:rFonts w:ascii="Times New Roman" w:hAnsi="Times New Roman"/>
        </w:rPr>
      </w:pPr>
      <w:hyperlink r:id="rId10" w:history="1">
        <w:r w:rsidR="003C1E13" w:rsidRPr="002A2E17">
          <w:rPr>
            <w:rStyle w:val="Hyperlink"/>
            <w:rFonts w:ascii="Times New Roman" w:hAnsi="Times New Roman"/>
          </w:rPr>
          <w:t>AQuIP Toolkit</w:t>
        </w:r>
      </w:hyperlink>
      <w:r w:rsidR="003C1E13" w:rsidRPr="003C1E13">
        <w:rPr>
          <w:rFonts w:ascii="Times New Roman" w:hAnsi="Times New Roman"/>
        </w:rPr>
        <w:t xml:space="preserve">, a </w:t>
      </w:r>
      <w:r w:rsidR="00003C70">
        <w:rPr>
          <w:rFonts w:ascii="Times New Roman" w:hAnsi="Times New Roman"/>
        </w:rPr>
        <w:t xml:space="preserve">user-friendly </w:t>
      </w:r>
      <w:r w:rsidR="003C1E13" w:rsidRPr="003C1E13">
        <w:rPr>
          <w:rFonts w:ascii="Times New Roman" w:hAnsi="Times New Roman"/>
        </w:rPr>
        <w:t xml:space="preserve">library of recruitment resources </w:t>
      </w:r>
      <w:r w:rsidR="0086242F">
        <w:rPr>
          <w:rFonts w:ascii="Times New Roman" w:hAnsi="Times New Roman"/>
        </w:rPr>
        <w:t xml:space="preserve">including </w:t>
      </w:r>
      <w:r w:rsidR="003C1E13" w:rsidRPr="003C1E13">
        <w:rPr>
          <w:rFonts w:ascii="Times New Roman" w:hAnsi="Times New Roman"/>
        </w:rPr>
        <w:t>a recruitment instructio</w:t>
      </w:r>
      <w:r w:rsidR="0086242F">
        <w:rPr>
          <w:rFonts w:ascii="Times New Roman" w:hAnsi="Times New Roman"/>
        </w:rPr>
        <w:t xml:space="preserve">n manual, recruitment materials and </w:t>
      </w:r>
      <w:r w:rsidR="003C1E13" w:rsidRPr="003C1E13">
        <w:rPr>
          <w:rFonts w:ascii="Times New Roman" w:hAnsi="Times New Roman"/>
        </w:rPr>
        <w:t xml:space="preserve">templates </w:t>
      </w:r>
      <w:r w:rsidR="0086242F">
        <w:rPr>
          <w:rFonts w:ascii="Times New Roman" w:hAnsi="Times New Roman"/>
        </w:rPr>
        <w:t xml:space="preserve">as well as an image </w:t>
      </w:r>
      <w:r w:rsidR="003C1E13">
        <w:rPr>
          <w:rFonts w:ascii="Times New Roman" w:hAnsi="Times New Roman"/>
        </w:rPr>
        <w:t xml:space="preserve">library available via </w:t>
      </w:r>
      <w:r w:rsidR="003C1E13" w:rsidRPr="003C1E13">
        <w:rPr>
          <w:rFonts w:ascii="Times New Roman" w:hAnsi="Times New Roman"/>
        </w:rPr>
        <w:t>dcpaquip.com</w:t>
      </w:r>
      <w:r w:rsidR="003C1E13">
        <w:rPr>
          <w:rFonts w:ascii="Times New Roman" w:hAnsi="Times New Roman"/>
        </w:rPr>
        <w:t>.</w:t>
      </w:r>
    </w:p>
    <w:p w14:paraId="00B16987" w14:textId="262CF3FC" w:rsidR="000728C4" w:rsidRDefault="000728C4" w:rsidP="000728C4">
      <w:pPr>
        <w:numPr>
          <w:ilvl w:val="0"/>
          <w:numId w:val="36"/>
        </w:numPr>
        <w:spacing w:line="240" w:lineRule="auto"/>
        <w:jc w:val="left"/>
      </w:pPr>
      <w:r>
        <w:t xml:space="preserve">Items designed to inform potential participants about a specific protocol (including but not limited to letters, brochures, telephone scripts, advertisements, websites, webpages, Facebook posts and Tweets) are considered recruitment materials. Before potential participants receive recruitment materials, the content of the materials, the mode of communication, and the final copy of the materials must be approved by DCP and </w:t>
      </w:r>
      <w:r w:rsidR="00DD591E">
        <w:t xml:space="preserve">the </w:t>
      </w:r>
      <w:r>
        <w:t>CIRB.</w:t>
      </w:r>
    </w:p>
    <w:p w14:paraId="312A22A8" w14:textId="77777777" w:rsidR="000728C4" w:rsidRDefault="000728C4" w:rsidP="000728C4">
      <w:pPr>
        <w:numPr>
          <w:ilvl w:val="0"/>
          <w:numId w:val="40"/>
        </w:numPr>
        <w:spacing w:line="240" w:lineRule="auto"/>
        <w:jc w:val="left"/>
        <w:rPr>
          <w:rFonts w:eastAsiaTheme="minorHAnsi"/>
        </w:rPr>
      </w:pPr>
      <w:r>
        <w:t>Recruitment materials</w:t>
      </w:r>
      <w:r w:rsidRPr="008824DF">
        <w:rPr>
          <w:vertAlign w:val="superscript"/>
        </w:rPr>
        <w:t>*</w:t>
      </w:r>
      <w:r>
        <w:t xml:space="preserve"> should be submitted to DCP for review via the PIO.</w:t>
      </w:r>
    </w:p>
    <w:p w14:paraId="38804CDE" w14:textId="77777777" w:rsidR="000728C4" w:rsidRDefault="000728C4" w:rsidP="000728C4">
      <w:pPr>
        <w:numPr>
          <w:ilvl w:val="0"/>
          <w:numId w:val="40"/>
        </w:numPr>
        <w:spacing w:line="240" w:lineRule="auto"/>
        <w:jc w:val="left"/>
      </w:pPr>
      <w:r>
        <w:t>Once the materials are DCP approved, the PIO will forward the materials to the CIRB for review.</w:t>
      </w:r>
    </w:p>
    <w:p w14:paraId="2D11AAB7" w14:textId="7165E013" w:rsidR="000728C4" w:rsidRDefault="00D22435" w:rsidP="000728C4">
      <w:pPr>
        <w:numPr>
          <w:ilvl w:val="0"/>
          <w:numId w:val="36"/>
        </w:numPr>
        <w:spacing w:line="240" w:lineRule="auto"/>
        <w:jc w:val="left"/>
      </w:pPr>
      <w:r>
        <w:t xml:space="preserve">The </w:t>
      </w:r>
      <w:r w:rsidR="000728C4">
        <w:t>CIRB will not approve a study protocol that refers to recruitment materials within the protocol unless those materials are submitted at the same time as the protocol document. (</w:t>
      </w:r>
      <w:r>
        <w:t xml:space="preserve">The </w:t>
      </w:r>
      <w:r w:rsidR="000728C4">
        <w:t xml:space="preserve">CIRB will table those protocols until those materials are submitted).  </w:t>
      </w:r>
      <w:r w:rsidR="00A451F5">
        <w:t xml:space="preserve">For more information about CIRB requirements for submission of recruitment materials, </w:t>
      </w:r>
      <w:r w:rsidR="00036604">
        <w:t xml:space="preserve">refer </w:t>
      </w:r>
      <w:r w:rsidR="00DB737A">
        <w:t>to the</w:t>
      </w:r>
      <w:r w:rsidR="00A451F5">
        <w:t xml:space="preserve"> </w:t>
      </w:r>
      <w:hyperlink r:id="rId11" w:history="1">
        <w:r w:rsidR="00A451F5" w:rsidRPr="00A451F5">
          <w:rPr>
            <w:rStyle w:val="Hyperlink"/>
          </w:rPr>
          <w:t>CIRB SOPs</w:t>
        </w:r>
      </w:hyperlink>
      <w:r w:rsidR="00594630">
        <w:t>.</w:t>
      </w:r>
    </w:p>
    <w:p w14:paraId="19CF0A58" w14:textId="77777777" w:rsidR="000728C4" w:rsidRDefault="000728C4" w:rsidP="008824DF">
      <w:pPr>
        <w:numPr>
          <w:ilvl w:val="0"/>
          <w:numId w:val="36"/>
        </w:numPr>
        <w:spacing w:after="120" w:line="240" w:lineRule="auto"/>
        <w:jc w:val="left"/>
      </w:pPr>
      <w:r>
        <w:t xml:space="preserve">However, recruitment materials are not a required component of the protocol submission to DCP or to the CIRB if those materials are not referred to in the protocol document. As such, recruitment materials that are not mentioned in the protocol document may be submitted for DCP and then CIRB review after the protocol and other associated documents are submitted/approved.  </w:t>
      </w:r>
    </w:p>
    <w:p w14:paraId="36CC9FF8" w14:textId="77777777" w:rsidR="008824DF" w:rsidRDefault="008824DF" w:rsidP="008824DF">
      <w:pPr>
        <w:spacing w:after="120" w:line="240" w:lineRule="auto"/>
        <w:ind w:left="720"/>
      </w:pPr>
      <w:r w:rsidRPr="008824DF">
        <w:rPr>
          <w:vertAlign w:val="superscript"/>
        </w:rPr>
        <w:t>*</w:t>
      </w:r>
      <w:r w:rsidR="000728C4" w:rsidRPr="008824DF">
        <w:t>Different types of recruitment materials for the same study may be submitted through the PIO simultaneously, or at different times.  However, every effort should be made to consolidate submissions.  Recruitment materials should not be included in the protocol.</w:t>
      </w:r>
    </w:p>
    <w:p w14:paraId="6321CA4D" w14:textId="77777777" w:rsidR="00CE2514" w:rsidRPr="00CE2514" w:rsidRDefault="00326FC0" w:rsidP="008824DF">
      <w:pPr>
        <w:pStyle w:val="ListParagraph"/>
        <w:numPr>
          <w:ilvl w:val="0"/>
          <w:numId w:val="22"/>
        </w:numPr>
        <w:autoSpaceDE w:val="0"/>
        <w:autoSpaceDN w:val="0"/>
        <w:adjustRightInd w:val="0"/>
        <w:spacing w:before="120" w:after="120" w:line="240" w:lineRule="auto"/>
        <w:contextualSpacing w:val="0"/>
        <w:jc w:val="both"/>
        <w:rPr>
          <w:rFonts w:ascii="Times New Roman" w:hAnsi="Times New Roman"/>
        </w:rPr>
      </w:pPr>
      <w:hyperlink r:id="rId12" w:history="1">
        <w:r w:rsidR="00CE2514" w:rsidRPr="002A2E17">
          <w:rPr>
            <w:rStyle w:val="Hyperlink"/>
            <w:rFonts w:ascii="Times New Roman" w:hAnsi="Times New Roman"/>
          </w:rPr>
          <w:t>Training and Resources</w:t>
        </w:r>
      </w:hyperlink>
      <w:r w:rsidR="00CE2514" w:rsidRPr="00CE2514">
        <w:rPr>
          <w:rFonts w:ascii="Times New Roman" w:hAnsi="Times New Roman"/>
        </w:rPr>
        <w:t>, a library of recorded webinars as well as links to additional clinical trial resou</w:t>
      </w:r>
      <w:r w:rsidR="00CE2514">
        <w:rPr>
          <w:rFonts w:ascii="Times New Roman" w:hAnsi="Times New Roman"/>
        </w:rPr>
        <w:t xml:space="preserve">rces and accrual support tools compiled to aid CLOs in their </w:t>
      </w:r>
      <w:r w:rsidR="00CE2514" w:rsidRPr="00CE2514">
        <w:rPr>
          <w:rFonts w:ascii="Times New Roman" w:hAnsi="Times New Roman"/>
        </w:rPr>
        <w:t>ongoing research staff training responsibilities</w:t>
      </w:r>
      <w:r w:rsidR="0094704F">
        <w:rPr>
          <w:rFonts w:ascii="Times New Roman" w:hAnsi="Times New Roman"/>
        </w:rPr>
        <w:t xml:space="preserve">; available </w:t>
      </w:r>
      <w:r w:rsidR="00C965B7">
        <w:rPr>
          <w:rFonts w:ascii="Times New Roman" w:hAnsi="Times New Roman"/>
        </w:rPr>
        <w:t>on dcpaquip.com</w:t>
      </w:r>
      <w:r w:rsidR="00CF3FEC">
        <w:rPr>
          <w:rFonts w:ascii="Times New Roman" w:hAnsi="Times New Roman"/>
        </w:rPr>
        <w:t>.</w:t>
      </w:r>
      <w:r w:rsidR="0094704F">
        <w:rPr>
          <w:rFonts w:ascii="Times New Roman" w:hAnsi="Times New Roman"/>
        </w:rPr>
        <w:t xml:space="preserve"> </w:t>
      </w:r>
    </w:p>
    <w:p w14:paraId="225AEAAE" w14:textId="48CC013F" w:rsidR="0086242F" w:rsidRDefault="00326FC0" w:rsidP="00D0659A">
      <w:pPr>
        <w:pStyle w:val="ListParagraph"/>
        <w:numPr>
          <w:ilvl w:val="0"/>
          <w:numId w:val="22"/>
        </w:numPr>
        <w:autoSpaceDE w:val="0"/>
        <w:autoSpaceDN w:val="0"/>
        <w:adjustRightInd w:val="0"/>
        <w:spacing w:after="120" w:line="240" w:lineRule="auto"/>
        <w:contextualSpacing w:val="0"/>
        <w:jc w:val="both"/>
        <w:rPr>
          <w:rFonts w:ascii="Times New Roman" w:hAnsi="Times New Roman"/>
        </w:rPr>
      </w:pPr>
      <w:hyperlink r:id="rId13" w:history="1">
        <w:r w:rsidR="003C1E13" w:rsidRPr="002A2E17">
          <w:rPr>
            <w:rStyle w:val="Hyperlink"/>
            <w:rFonts w:ascii="Times New Roman" w:hAnsi="Times New Roman"/>
          </w:rPr>
          <w:t>AQuIP On-line Accrual Reporting System (OARS)</w:t>
        </w:r>
      </w:hyperlink>
      <w:r w:rsidR="003C1E13" w:rsidRPr="003C1E13">
        <w:rPr>
          <w:rFonts w:ascii="Times New Roman" w:hAnsi="Times New Roman"/>
        </w:rPr>
        <w:t xml:space="preserve">, a system for recording, tracking, reporting, </w:t>
      </w:r>
      <w:r w:rsidR="00494273">
        <w:rPr>
          <w:rFonts w:ascii="Times New Roman" w:hAnsi="Times New Roman"/>
        </w:rPr>
        <w:t xml:space="preserve">and </w:t>
      </w:r>
      <w:r w:rsidR="003C1E13" w:rsidRPr="003C1E13">
        <w:rPr>
          <w:rFonts w:ascii="Times New Roman" w:hAnsi="Times New Roman"/>
        </w:rPr>
        <w:t xml:space="preserve">monitoring </w:t>
      </w:r>
      <w:r w:rsidR="0086242F">
        <w:rPr>
          <w:rFonts w:ascii="Times New Roman" w:hAnsi="Times New Roman"/>
        </w:rPr>
        <w:t>accrual</w:t>
      </w:r>
      <w:r w:rsidR="003C1E13" w:rsidRPr="003C1E13">
        <w:rPr>
          <w:rFonts w:ascii="Times New Roman" w:hAnsi="Times New Roman"/>
        </w:rPr>
        <w:t>.</w:t>
      </w:r>
      <w:r w:rsidR="0086242F">
        <w:rPr>
          <w:rFonts w:ascii="Times New Roman" w:hAnsi="Times New Roman"/>
        </w:rPr>
        <w:t xml:space="preserve">  The system includes a Protocol Information Page for study-level status, a </w:t>
      </w:r>
      <w:r w:rsidR="00D0659A" w:rsidRPr="0086242F">
        <w:rPr>
          <w:rFonts w:ascii="Times New Roman" w:hAnsi="Times New Roman"/>
        </w:rPr>
        <w:lastRenderedPageBreak/>
        <w:t>Participant Accrual</w:t>
      </w:r>
      <w:r w:rsidR="00D0659A" w:rsidRPr="003C1E13">
        <w:rPr>
          <w:rFonts w:ascii="Times New Roman" w:hAnsi="Times New Roman"/>
        </w:rPr>
        <w:t xml:space="preserve"> </w:t>
      </w:r>
      <w:r w:rsidR="00D0659A">
        <w:rPr>
          <w:rFonts w:ascii="Times New Roman" w:hAnsi="Times New Roman"/>
        </w:rPr>
        <w:t xml:space="preserve">Page </w:t>
      </w:r>
      <w:r w:rsidR="0086242F">
        <w:rPr>
          <w:rFonts w:ascii="Times New Roman" w:hAnsi="Times New Roman"/>
        </w:rPr>
        <w:t xml:space="preserve">for </w:t>
      </w:r>
      <w:r w:rsidR="001D382E">
        <w:rPr>
          <w:rFonts w:ascii="Times New Roman" w:hAnsi="Times New Roman"/>
        </w:rPr>
        <w:t>study</w:t>
      </w:r>
      <w:r w:rsidR="00CF3FEC">
        <w:rPr>
          <w:rFonts w:ascii="Times New Roman" w:hAnsi="Times New Roman"/>
        </w:rPr>
        <w:t xml:space="preserve"> </w:t>
      </w:r>
      <w:r w:rsidR="001D382E">
        <w:rPr>
          <w:rFonts w:ascii="Times New Roman" w:hAnsi="Times New Roman"/>
        </w:rPr>
        <w:t>candidate/participant</w:t>
      </w:r>
      <w:r w:rsidR="0086242F">
        <w:rPr>
          <w:rFonts w:ascii="Times New Roman" w:hAnsi="Times New Roman"/>
        </w:rPr>
        <w:t xml:space="preserve">-level accrual </w:t>
      </w:r>
      <w:r w:rsidR="00CF3FEC">
        <w:rPr>
          <w:rFonts w:ascii="Times New Roman" w:hAnsi="Times New Roman"/>
        </w:rPr>
        <w:t>data entry</w:t>
      </w:r>
      <w:r w:rsidR="0086242F">
        <w:rPr>
          <w:rFonts w:ascii="Times New Roman" w:hAnsi="Times New Roman"/>
        </w:rPr>
        <w:t xml:space="preserve"> , and a Recruitment Journal Page </w:t>
      </w:r>
      <w:r w:rsidR="00D0659A">
        <w:rPr>
          <w:rFonts w:ascii="Times New Roman" w:hAnsi="Times New Roman"/>
        </w:rPr>
        <w:t xml:space="preserve">to capture </w:t>
      </w:r>
      <w:r w:rsidR="00D0659A" w:rsidRPr="003C1E13">
        <w:rPr>
          <w:rFonts w:ascii="Times New Roman" w:hAnsi="Times New Roman"/>
        </w:rPr>
        <w:t>events, situations, conditions or efforts that may affect accrual</w:t>
      </w:r>
      <w:r w:rsidR="001D382E">
        <w:rPr>
          <w:rFonts w:ascii="Times New Roman" w:hAnsi="Times New Roman"/>
        </w:rPr>
        <w:t xml:space="preserve"> at a particular site and/or the study as a whole</w:t>
      </w:r>
      <w:r w:rsidR="00D0659A">
        <w:rPr>
          <w:rFonts w:ascii="Times New Roman" w:hAnsi="Times New Roman"/>
        </w:rPr>
        <w:t xml:space="preserve">  </w:t>
      </w:r>
      <w:r w:rsidR="00D0659A" w:rsidRPr="00D0659A">
        <w:rPr>
          <w:rFonts w:ascii="Times New Roman" w:hAnsi="Times New Roman"/>
        </w:rPr>
        <w:t xml:space="preserve">See </w:t>
      </w:r>
      <w:hyperlink r:id="rId14" w:history="1">
        <w:r w:rsidR="00512670">
          <w:rPr>
            <w:rStyle w:val="Hyperlink"/>
            <w:rFonts w:ascii="Times New Roman" w:hAnsi="Times New Roman"/>
          </w:rPr>
          <w:t>AQuIP OARS User Guide</w:t>
        </w:r>
      </w:hyperlink>
      <w:r w:rsidR="00D0659A" w:rsidRPr="00D0659A">
        <w:rPr>
          <w:rFonts w:ascii="Times New Roman" w:hAnsi="Times New Roman"/>
        </w:rPr>
        <w:t xml:space="preserve"> for instructional details.</w:t>
      </w:r>
    </w:p>
    <w:p w14:paraId="14E9CE9C" w14:textId="77777777" w:rsidR="00D0659A" w:rsidRPr="008311EB" w:rsidRDefault="003C1E13" w:rsidP="00177477">
      <w:pPr>
        <w:pStyle w:val="ListParagraph"/>
        <w:numPr>
          <w:ilvl w:val="0"/>
          <w:numId w:val="22"/>
        </w:numPr>
        <w:autoSpaceDE w:val="0"/>
        <w:autoSpaceDN w:val="0"/>
        <w:adjustRightInd w:val="0"/>
        <w:spacing w:after="120" w:line="240" w:lineRule="auto"/>
        <w:contextualSpacing w:val="0"/>
        <w:jc w:val="both"/>
        <w:rPr>
          <w:rFonts w:ascii="Times New Roman" w:hAnsi="Times New Roman"/>
        </w:rPr>
      </w:pPr>
      <w:r w:rsidRPr="009B49AA">
        <w:rPr>
          <w:rFonts w:ascii="Times New Roman" w:hAnsi="Times New Roman"/>
          <w:u w:val="single"/>
        </w:rPr>
        <w:t xml:space="preserve">AQuIP Zone Monitoring </w:t>
      </w:r>
      <w:r w:rsidR="00D0659A" w:rsidRPr="009B49AA">
        <w:rPr>
          <w:rFonts w:ascii="Times New Roman" w:hAnsi="Times New Roman"/>
          <w:u w:val="single"/>
        </w:rPr>
        <w:t>Report</w:t>
      </w:r>
      <w:r w:rsidR="005150F3" w:rsidRPr="008311EB">
        <w:rPr>
          <w:rFonts w:ascii="Times New Roman" w:hAnsi="Times New Roman"/>
        </w:rPr>
        <w:t>, a</w:t>
      </w:r>
      <w:r w:rsidR="0094704F">
        <w:rPr>
          <w:rFonts w:ascii="Times New Roman" w:hAnsi="Times New Roman"/>
        </w:rPr>
        <w:t xml:space="preserve"> </w:t>
      </w:r>
      <w:r w:rsidR="00177477">
        <w:rPr>
          <w:rFonts w:ascii="Times New Roman" w:hAnsi="Times New Roman"/>
        </w:rPr>
        <w:t xml:space="preserve">tool that provides a </w:t>
      </w:r>
      <w:r w:rsidR="00502F52">
        <w:rPr>
          <w:rFonts w:ascii="Times New Roman" w:hAnsi="Times New Roman"/>
        </w:rPr>
        <w:t>visualization</w:t>
      </w:r>
      <w:r w:rsidR="008769BC">
        <w:rPr>
          <w:rFonts w:ascii="Times New Roman" w:hAnsi="Times New Roman"/>
        </w:rPr>
        <w:t xml:space="preserve"> of </w:t>
      </w:r>
      <w:r w:rsidR="00177477" w:rsidRPr="00177477">
        <w:rPr>
          <w:rFonts w:ascii="Times New Roman" w:hAnsi="Times New Roman"/>
        </w:rPr>
        <w:t xml:space="preserve">accrual progress </w:t>
      </w:r>
      <w:r w:rsidR="007732B2">
        <w:rPr>
          <w:rFonts w:ascii="Times New Roman" w:hAnsi="Times New Roman"/>
        </w:rPr>
        <w:t xml:space="preserve">based on a comparison of </w:t>
      </w:r>
      <w:r w:rsidR="00177477">
        <w:rPr>
          <w:rFonts w:ascii="Times New Roman" w:hAnsi="Times New Roman"/>
        </w:rPr>
        <w:t xml:space="preserve">the </w:t>
      </w:r>
      <w:r w:rsidR="00177477">
        <w:rPr>
          <w:rFonts w:ascii="Times New Roman" w:eastAsia="Times New Roman" w:hAnsi="Times New Roman"/>
        </w:rPr>
        <w:t>actual current accrual rate w</w:t>
      </w:r>
      <w:r w:rsidR="007732B2">
        <w:rPr>
          <w:rFonts w:ascii="Times New Roman" w:eastAsia="Times New Roman" w:hAnsi="Times New Roman"/>
        </w:rPr>
        <w:t>ith a</w:t>
      </w:r>
      <w:r w:rsidR="00177477">
        <w:rPr>
          <w:rFonts w:ascii="Times New Roman" w:eastAsia="Times New Roman" w:hAnsi="Times New Roman"/>
        </w:rPr>
        <w:t xml:space="preserve">ccrual </w:t>
      </w:r>
      <w:r w:rsidR="008769BC">
        <w:rPr>
          <w:rFonts w:ascii="Times New Roman" w:eastAsia="Times New Roman" w:hAnsi="Times New Roman"/>
        </w:rPr>
        <w:t xml:space="preserve">rate benchmarks or milestones </w:t>
      </w:r>
      <w:r w:rsidR="00DB6D94">
        <w:rPr>
          <w:rFonts w:ascii="Times New Roman" w:eastAsia="Times New Roman" w:hAnsi="Times New Roman"/>
        </w:rPr>
        <w:t xml:space="preserve">presented on a background of </w:t>
      </w:r>
      <w:r w:rsidR="007732B2">
        <w:rPr>
          <w:rFonts w:ascii="Times New Roman" w:eastAsia="Times New Roman" w:hAnsi="Times New Roman"/>
        </w:rPr>
        <w:t xml:space="preserve">color-coded accrual performance zones. </w:t>
      </w:r>
      <w:r w:rsidR="000510A8">
        <w:rPr>
          <w:rFonts w:ascii="Times New Roman" w:eastAsia="Times New Roman" w:hAnsi="Times New Roman"/>
        </w:rPr>
        <w:t xml:space="preserve"> </w:t>
      </w:r>
      <w:r w:rsidR="00DB6D94">
        <w:rPr>
          <w:rFonts w:ascii="Times New Roman" w:hAnsi="Times New Roman"/>
        </w:rPr>
        <w:t xml:space="preserve">The report </w:t>
      </w:r>
      <w:r w:rsidR="008769BC">
        <w:rPr>
          <w:rFonts w:ascii="Times New Roman" w:hAnsi="Times New Roman"/>
        </w:rPr>
        <w:t xml:space="preserve">is </w:t>
      </w:r>
      <w:r w:rsidR="0094704F">
        <w:rPr>
          <w:rFonts w:ascii="Times New Roman" w:hAnsi="Times New Roman"/>
        </w:rPr>
        <w:t>u</w:t>
      </w:r>
      <w:r w:rsidR="001D382E">
        <w:rPr>
          <w:rFonts w:ascii="Times New Roman" w:hAnsi="Times New Roman"/>
        </w:rPr>
        <w:t xml:space="preserve">pdated </w:t>
      </w:r>
      <w:r w:rsidR="00F85FDD">
        <w:rPr>
          <w:rFonts w:ascii="Times New Roman" w:hAnsi="Times New Roman"/>
        </w:rPr>
        <w:t>monthly</w:t>
      </w:r>
      <w:r w:rsidR="00502F52">
        <w:rPr>
          <w:rFonts w:ascii="Times New Roman" w:hAnsi="Times New Roman"/>
        </w:rPr>
        <w:t xml:space="preserve"> </w:t>
      </w:r>
      <w:r w:rsidR="0098261D">
        <w:rPr>
          <w:rFonts w:ascii="Times New Roman" w:hAnsi="Times New Roman"/>
        </w:rPr>
        <w:t xml:space="preserve">by DCP for each accruing trial </w:t>
      </w:r>
      <w:r w:rsidR="005150F3" w:rsidRPr="008311EB">
        <w:rPr>
          <w:rFonts w:ascii="Times New Roman" w:hAnsi="Times New Roman"/>
        </w:rPr>
        <w:t xml:space="preserve">to </w:t>
      </w:r>
      <w:r w:rsidR="0054657F">
        <w:rPr>
          <w:rFonts w:ascii="Times New Roman" w:hAnsi="Times New Roman"/>
        </w:rPr>
        <w:t xml:space="preserve">facilitate </w:t>
      </w:r>
      <w:r w:rsidR="00DB6D94">
        <w:rPr>
          <w:rFonts w:ascii="Times New Roman" w:hAnsi="Times New Roman"/>
        </w:rPr>
        <w:t>frequent</w:t>
      </w:r>
      <w:r w:rsidR="0054657F">
        <w:rPr>
          <w:rFonts w:ascii="Times New Roman" w:hAnsi="Times New Roman"/>
        </w:rPr>
        <w:t xml:space="preserve"> </w:t>
      </w:r>
      <w:r w:rsidR="0098261D">
        <w:rPr>
          <w:rFonts w:ascii="Times New Roman" w:hAnsi="Times New Roman"/>
        </w:rPr>
        <w:t>monitor</w:t>
      </w:r>
      <w:r w:rsidR="0054657F">
        <w:rPr>
          <w:rFonts w:ascii="Times New Roman" w:hAnsi="Times New Roman"/>
        </w:rPr>
        <w:t xml:space="preserve">ing </w:t>
      </w:r>
      <w:r w:rsidR="00DB6D94">
        <w:rPr>
          <w:rFonts w:ascii="Times New Roman" w:hAnsi="Times New Roman"/>
        </w:rPr>
        <w:t xml:space="preserve">and prompt identification </w:t>
      </w:r>
      <w:r w:rsidR="00684325">
        <w:rPr>
          <w:rFonts w:ascii="Times New Roman" w:hAnsi="Times New Roman"/>
        </w:rPr>
        <w:t xml:space="preserve">of </w:t>
      </w:r>
      <w:r w:rsidR="005150F3" w:rsidRPr="008311EB">
        <w:rPr>
          <w:rFonts w:ascii="Times New Roman" w:hAnsi="Times New Roman"/>
        </w:rPr>
        <w:t>improvement opportunities</w:t>
      </w:r>
      <w:r w:rsidR="00241B69">
        <w:rPr>
          <w:rFonts w:ascii="Times New Roman" w:hAnsi="Times New Roman"/>
        </w:rPr>
        <w:t xml:space="preserve">.  </w:t>
      </w:r>
      <w:r w:rsidR="000510A8">
        <w:rPr>
          <w:rFonts w:ascii="Times New Roman" w:eastAsia="Times New Roman" w:hAnsi="Times New Roman"/>
        </w:rPr>
        <w:t>The zones provide guidance for corrective approaches to address shortfalls in accrual</w:t>
      </w:r>
      <w:r w:rsidR="00F85FDD">
        <w:rPr>
          <w:rFonts w:ascii="Times New Roman" w:eastAsia="Times New Roman" w:hAnsi="Times New Roman"/>
        </w:rPr>
        <w:t>.</w:t>
      </w:r>
      <w:r w:rsidR="00241B69">
        <w:rPr>
          <w:rFonts w:ascii="Times New Roman" w:hAnsi="Times New Roman"/>
        </w:rPr>
        <w:t xml:space="preserve"> </w:t>
      </w:r>
      <w:r w:rsidR="005150F3" w:rsidRPr="008311EB">
        <w:rPr>
          <w:rFonts w:ascii="Times New Roman" w:hAnsi="Times New Roman"/>
        </w:rPr>
        <w:t xml:space="preserve"> The calculations are based on the ‘Target Enrollment: (Maximum #)’ and ‘Projected Monthly Accrual Rate’ specified by the CLO in the Protocol Submission Worksheet. </w:t>
      </w:r>
      <w:r w:rsidR="008311EB" w:rsidRPr="008311EB">
        <w:rPr>
          <w:rFonts w:ascii="Times New Roman" w:hAnsi="Times New Roman"/>
        </w:rPr>
        <w:t>Study-specific quarter milestones are included t</w:t>
      </w:r>
      <w:r w:rsidR="008311EB">
        <w:rPr>
          <w:rFonts w:ascii="Times New Roman" w:hAnsi="Times New Roman"/>
        </w:rPr>
        <w:t xml:space="preserve">o assist CLO and DCP monitoring. </w:t>
      </w:r>
      <w:r w:rsidR="008311EB" w:rsidRPr="008311EB">
        <w:rPr>
          <w:rFonts w:ascii="Times New Roman" w:hAnsi="Times New Roman"/>
        </w:rPr>
        <w:t xml:space="preserve">Zones </w:t>
      </w:r>
      <w:r w:rsidR="005150F3" w:rsidRPr="008311EB">
        <w:rPr>
          <w:rFonts w:ascii="Times New Roman" w:hAnsi="Times New Roman"/>
        </w:rPr>
        <w:t xml:space="preserve">and interventions </w:t>
      </w:r>
      <w:r w:rsidR="008311EB" w:rsidRPr="008311EB">
        <w:rPr>
          <w:rFonts w:ascii="Times New Roman" w:hAnsi="Times New Roman"/>
        </w:rPr>
        <w:t xml:space="preserve">triggers </w:t>
      </w:r>
      <w:r w:rsidR="005150F3" w:rsidRPr="008311EB">
        <w:rPr>
          <w:rFonts w:ascii="Times New Roman" w:hAnsi="Times New Roman"/>
        </w:rPr>
        <w:t xml:space="preserve">are outlined below: </w:t>
      </w:r>
    </w:p>
    <w:p w14:paraId="68A7EF64" w14:textId="77777777" w:rsidR="00D0659A" w:rsidRPr="00D531DF" w:rsidRDefault="00F8454B" w:rsidP="000728C4">
      <w:pPr>
        <w:numPr>
          <w:ilvl w:val="0"/>
          <w:numId w:val="36"/>
        </w:numPr>
        <w:spacing w:line="240" w:lineRule="auto"/>
        <w:jc w:val="left"/>
      </w:pPr>
      <w:r w:rsidRPr="008824DF">
        <w:rPr>
          <w:b/>
        </w:rPr>
        <w:t>Green Zone</w:t>
      </w:r>
      <w:r>
        <w:t xml:space="preserve"> </w:t>
      </w:r>
      <w:r w:rsidRPr="000728C4">
        <w:t xml:space="preserve">– </w:t>
      </w:r>
      <w:r w:rsidR="00D0659A" w:rsidRPr="00D531DF">
        <w:t xml:space="preserve">indicates actual accrual </w:t>
      </w:r>
      <w:r w:rsidR="001F54DD">
        <w:t>rate</w:t>
      </w:r>
      <w:r w:rsidR="001F54DD" w:rsidRPr="00D531DF">
        <w:t xml:space="preserve"> </w:t>
      </w:r>
      <w:r w:rsidR="00D0659A" w:rsidRPr="00D531DF">
        <w:t xml:space="preserve">that is greater than or equal to 90% of the projected accrual </w:t>
      </w:r>
      <w:r w:rsidR="001F54DD">
        <w:t>rate</w:t>
      </w:r>
      <w:r w:rsidR="00D0659A" w:rsidRPr="00D531DF">
        <w:t xml:space="preserve">.  </w:t>
      </w:r>
      <w:r w:rsidR="00D0659A" w:rsidRPr="000728C4">
        <w:t>DCP welcomes the opportunity to commend you on your success and encourage your insights on successful recruitment factors/strategies</w:t>
      </w:r>
      <w:r w:rsidR="00866BC4" w:rsidRPr="000728C4">
        <w:t>.</w:t>
      </w:r>
    </w:p>
    <w:p w14:paraId="0D97BC6D" w14:textId="77777777" w:rsidR="00D0659A" w:rsidRPr="00D531DF" w:rsidRDefault="00D0659A" w:rsidP="000728C4">
      <w:pPr>
        <w:numPr>
          <w:ilvl w:val="0"/>
          <w:numId w:val="36"/>
        </w:numPr>
        <w:spacing w:line="240" w:lineRule="auto"/>
        <w:jc w:val="left"/>
      </w:pPr>
      <w:r w:rsidRPr="008824DF">
        <w:rPr>
          <w:b/>
        </w:rPr>
        <w:t>Orange Zone</w:t>
      </w:r>
      <w:r w:rsidR="00F8454B">
        <w:t xml:space="preserve"> </w:t>
      </w:r>
      <w:r w:rsidR="00F8454B" w:rsidRPr="000728C4">
        <w:t xml:space="preserve">– </w:t>
      </w:r>
      <w:r w:rsidRPr="00D531DF">
        <w:t xml:space="preserve">indicates actual accrual </w:t>
      </w:r>
      <w:r w:rsidR="001F54DD">
        <w:t>rate</w:t>
      </w:r>
      <w:r w:rsidR="001F54DD" w:rsidRPr="00D531DF">
        <w:t xml:space="preserve"> </w:t>
      </w:r>
      <w:r w:rsidRPr="00D531DF">
        <w:t xml:space="preserve">that is less than 90% but greater than or equal to 75% of the projected accrual </w:t>
      </w:r>
      <w:r w:rsidR="001F54DD">
        <w:t>rate</w:t>
      </w:r>
      <w:r w:rsidRPr="00D531DF">
        <w:t xml:space="preserve">. </w:t>
      </w:r>
      <w:r w:rsidRPr="000728C4">
        <w:t xml:space="preserve">Interventions may include </w:t>
      </w:r>
      <w:r w:rsidR="00866BC4" w:rsidRPr="000728C4">
        <w:t xml:space="preserve">but are not limited to </w:t>
      </w:r>
      <w:r w:rsidRPr="000728C4">
        <w:t xml:space="preserve">a </w:t>
      </w:r>
      <w:r w:rsidR="00866BC4" w:rsidRPr="000728C4">
        <w:t xml:space="preserve">required </w:t>
      </w:r>
      <w:r w:rsidRPr="000728C4">
        <w:t>corrective action plan based on staff input and a review of the screening log is required. Monitoring frequency may increase to ensure that the investigators are implementing corrective actions to ensure full enrollment</w:t>
      </w:r>
      <w:r w:rsidR="00866BC4" w:rsidRPr="000728C4">
        <w:t>.</w:t>
      </w:r>
    </w:p>
    <w:p w14:paraId="1124670F" w14:textId="77777777" w:rsidR="00D0659A" w:rsidRDefault="00D0659A" w:rsidP="000728C4">
      <w:pPr>
        <w:numPr>
          <w:ilvl w:val="0"/>
          <w:numId w:val="36"/>
        </w:numPr>
        <w:spacing w:line="240" w:lineRule="auto"/>
        <w:jc w:val="left"/>
      </w:pPr>
      <w:r w:rsidRPr="008824DF">
        <w:rPr>
          <w:b/>
        </w:rPr>
        <w:t>Yellow Zone</w:t>
      </w:r>
      <w:r w:rsidR="00F8454B">
        <w:t xml:space="preserve"> </w:t>
      </w:r>
      <w:r w:rsidR="00F8454B" w:rsidRPr="000728C4">
        <w:t xml:space="preserve">– </w:t>
      </w:r>
      <w:r w:rsidRPr="00D531DF">
        <w:t xml:space="preserve"> indicates actual accrual </w:t>
      </w:r>
      <w:r w:rsidR="001F54DD">
        <w:t>rate</w:t>
      </w:r>
      <w:r w:rsidR="001F54DD" w:rsidRPr="00D531DF">
        <w:t xml:space="preserve"> </w:t>
      </w:r>
      <w:r w:rsidRPr="00D531DF">
        <w:t xml:space="preserve">that is less than 75% but greater than Red Zone accrual performance. </w:t>
      </w:r>
      <w:r w:rsidRPr="000728C4">
        <w:t>Interventions may include but are not limited to a required analysis of recruitment barriers and a corrective action plan for review by the DCP</w:t>
      </w:r>
      <w:r w:rsidR="008824DF">
        <w:t>.</w:t>
      </w:r>
      <w:r w:rsidRPr="000728C4">
        <w:t xml:space="preserve"> Medical/Scientific Monitor and Nurse Consultant and approval by the DCP leadership.</w:t>
      </w:r>
    </w:p>
    <w:p w14:paraId="3C926C89" w14:textId="77777777" w:rsidR="00EF576F" w:rsidRDefault="00EF576F" w:rsidP="00CF4242">
      <w:pPr>
        <w:numPr>
          <w:ilvl w:val="0"/>
          <w:numId w:val="36"/>
        </w:numPr>
        <w:spacing w:after="120" w:line="240" w:lineRule="auto"/>
        <w:jc w:val="left"/>
      </w:pPr>
      <w:r w:rsidRPr="008824DF">
        <w:rPr>
          <w:b/>
        </w:rPr>
        <w:t>Red Zone</w:t>
      </w:r>
      <w:r w:rsidR="00D73189" w:rsidRPr="000728C4">
        <w:t xml:space="preserve">– </w:t>
      </w:r>
      <w:r w:rsidR="00D73189" w:rsidRPr="00D531DF">
        <w:t xml:space="preserve"> </w:t>
      </w:r>
      <w:r w:rsidRPr="00D531DF">
        <w:t xml:space="preserve">indicates actual accrual </w:t>
      </w:r>
      <w:r>
        <w:t>rate</w:t>
      </w:r>
      <w:r w:rsidRPr="00D531DF">
        <w:t xml:space="preserve"> that is less than</w:t>
      </w:r>
      <w:r>
        <w:t xml:space="preserve"> </w:t>
      </w:r>
      <w:r w:rsidRPr="00EF576F">
        <w:t xml:space="preserve">25% at </w:t>
      </w:r>
      <w:r>
        <w:t xml:space="preserve">the </w:t>
      </w:r>
      <w:r w:rsidRPr="00EF576F">
        <w:t xml:space="preserve">end of </w:t>
      </w:r>
      <w:r>
        <w:t xml:space="preserve">the </w:t>
      </w:r>
      <w:r w:rsidRPr="00EF576F">
        <w:t>1st quarter</w:t>
      </w:r>
      <w:r>
        <w:t xml:space="preserve">, less than 25% at the </w:t>
      </w:r>
      <w:r w:rsidRPr="00EF576F">
        <w:t xml:space="preserve">end </w:t>
      </w:r>
      <w:r w:rsidR="00DB737A" w:rsidRPr="00EF576F">
        <w:t xml:space="preserve">of </w:t>
      </w:r>
      <w:r w:rsidR="00DB737A">
        <w:t>the</w:t>
      </w:r>
      <w:r w:rsidR="00B02A15">
        <w:t xml:space="preserve"> </w:t>
      </w:r>
      <w:r w:rsidRPr="00EF576F">
        <w:t>2nd quarter</w:t>
      </w:r>
      <w:r>
        <w:t xml:space="preserve"> and less than 50% at the end of the </w:t>
      </w:r>
      <w:r w:rsidR="00531474">
        <w:t xml:space="preserve">3rd </w:t>
      </w:r>
      <w:r w:rsidRPr="00EF576F">
        <w:t>quarter</w:t>
      </w:r>
      <w:r>
        <w:t>.</w:t>
      </w:r>
      <w:r w:rsidRPr="00EF576F">
        <w:t xml:space="preserve"> </w:t>
      </w:r>
      <w:r w:rsidRPr="000728C4">
        <w:t>Interventions may include but are not limited to</w:t>
      </w:r>
      <w:r>
        <w:t xml:space="preserve"> a corrective action plan, a site visit by DCP and CLO staff, a retreat to discuss protocol issues and consideration of study closure if continuation is not approved by DCP leadership.</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90"/>
        <w:gridCol w:w="5220"/>
      </w:tblGrid>
      <w:tr w:rsidR="008824DF" w:rsidRPr="00512670" w14:paraId="67E250C4" w14:textId="77777777" w:rsidTr="00512670">
        <w:tc>
          <w:tcPr>
            <w:tcW w:w="3690" w:type="dxa"/>
            <w:shd w:val="clear" w:color="auto" w:fill="00CC00"/>
            <w:tcMar>
              <w:top w:w="72" w:type="dxa"/>
              <w:left w:w="144" w:type="dxa"/>
              <w:bottom w:w="72" w:type="dxa"/>
              <w:right w:w="144" w:type="dxa"/>
            </w:tcMar>
            <w:hideMark/>
          </w:tcPr>
          <w:p w14:paraId="585AA58D" w14:textId="77777777" w:rsidR="00CF4242" w:rsidRPr="00512670" w:rsidRDefault="00CF4242" w:rsidP="00CF4242">
            <w:pPr>
              <w:spacing w:line="240" w:lineRule="auto"/>
              <w:jc w:val="left"/>
              <w:rPr>
                <w:sz w:val="21"/>
                <w:szCs w:val="21"/>
              </w:rPr>
            </w:pPr>
            <w:r w:rsidRPr="00512670">
              <w:rPr>
                <w:b/>
                <w:bCs/>
                <w:sz w:val="21"/>
                <w:szCs w:val="21"/>
              </w:rPr>
              <w:t>Green: ≥ 90 %</w:t>
            </w:r>
          </w:p>
        </w:tc>
        <w:tc>
          <w:tcPr>
            <w:tcW w:w="5220" w:type="dxa"/>
            <w:shd w:val="clear" w:color="auto" w:fill="00CC00"/>
            <w:tcMar>
              <w:top w:w="72" w:type="dxa"/>
              <w:left w:w="144" w:type="dxa"/>
              <w:bottom w:w="72" w:type="dxa"/>
              <w:right w:w="144" w:type="dxa"/>
            </w:tcMar>
            <w:hideMark/>
          </w:tcPr>
          <w:p w14:paraId="288DEDA3" w14:textId="77777777" w:rsidR="00CF4242" w:rsidRPr="00512670" w:rsidRDefault="008824DF" w:rsidP="00CF4242">
            <w:pPr>
              <w:spacing w:line="240" w:lineRule="auto"/>
              <w:jc w:val="left"/>
              <w:rPr>
                <w:sz w:val="21"/>
                <w:szCs w:val="21"/>
              </w:rPr>
            </w:pPr>
            <w:r w:rsidRPr="00512670">
              <w:rPr>
                <w:sz w:val="21"/>
                <w:szCs w:val="21"/>
              </w:rPr>
              <w:t>DCP welcomes the opportunity to commend you on your success and encourage your insights on successful recruitment factors/strategies.</w:t>
            </w:r>
          </w:p>
        </w:tc>
      </w:tr>
      <w:tr w:rsidR="008824DF" w:rsidRPr="00512670" w14:paraId="6B5E2295" w14:textId="77777777" w:rsidTr="00512670">
        <w:tc>
          <w:tcPr>
            <w:tcW w:w="3690" w:type="dxa"/>
            <w:shd w:val="clear" w:color="auto" w:fill="FF9900"/>
            <w:tcMar>
              <w:top w:w="72" w:type="dxa"/>
              <w:left w:w="144" w:type="dxa"/>
              <w:bottom w:w="72" w:type="dxa"/>
              <w:right w:w="144" w:type="dxa"/>
            </w:tcMar>
            <w:hideMark/>
          </w:tcPr>
          <w:p w14:paraId="70416523" w14:textId="77777777" w:rsidR="00CF4242" w:rsidRPr="00512670" w:rsidRDefault="008824DF" w:rsidP="00CF4242">
            <w:pPr>
              <w:spacing w:line="240" w:lineRule="auto"/>
              <w:jc w:val="left"/>
              <w:rPr>
                <w:sz w:val="21"/>
                <w:szCs w:val="21"/>
              </w:rPr>
            </w:pPr>
            <w:r w:rsidRPr="00512670">
              <w:rPr>
                <w:b/>
                <w:bCs/>
                <w:sz w:val="21"/>
                <w:szCs w:val="21"/>
              </w:rPr>
              <w:t>Orange</w:t>
            </w:r>
            <w:r w:rsidR="00CF4242" w:rsidRPr="00512670">
              <w:rPr>
                <w:b/>
                <w:bCs/>
                <w:sz w:val="21"/>
                <w:szCs w:val="21"/>
              </w:rPr>
              <w:t xml:space="preserve"> &lt; 90% and ≥75%</w:t>
            </w:r>
          </w:p>
        </w:tc>
        <w:tc>
          <w:tcPr>
            <w:tcW w:w="5220" w:type="dxa"/>
            <w:shd w:val="clear" w:color="auto" w:fill="FF9900"/>
            <w:tcMar>
              <w:top w:w="72" w:type="dxa"/>
              <w:left w:w="144" w:type="dxa"/>
              <w:bottom w:w="72" w:type="dxa"/>
              <w:right w:w="144" w:type="dxa"/>
            </w:tcMar>
            <w:hideMark/>
          </w:tcPr>
          <w:p w14:paraId="17D1EC2C" w14:textId="77777777" w:rsidR="00CF4242" w:rsidRPr="00512670" w:rsidRDefault="008824DF" w:rsidP="00CF4242">
            <w:pPr>
              <w:spacing w:line="240" w:lineRule="auto"/>
              <w:jc w:val="left"/>
              <w:rPr>
                <w:sz w:val="21"/>
                <w:szCs w:val="21"/>
              </w:rPr>
            </w:pPr>
            <w:r w:rsidRPr="00512670">
              <w:rPr>
                <w:sz w:val="21"/>
                <w:szCs w:val="21"/>
              </w:rPr>
              <w:t>Interventions may include but are not limited to a required corrective action plan based on staff input and a review of the screening log is required. Monitoring frequency may increase to ensure that the investigators are implementing corrective actions to ensure full enrollment.</w:t>
            </w:r>
          </w:p>
        </w:tc>
      </w:tr>
      <w:tr w:rsidR="008824DF" w:rsidRPr="00512670" w14:paraId="3D02FA4F" w14:textId="77777777" w:rsidTr="00512670">
        <w:tc>
          <w:tcPr>
            <w:tcW w:w="3690" w:type="dxa"/>
            <w:shd w:val="clear" w:color="auto" w:fill="FFD966"/>
            <w:tcMar>
              <w:top w:w="72" w:type="dxa"/>
              <w:left w:w="144" w:type="dxa"/>
              <w:bottom w:w="72" w:type="dxa"/>
              <w:right w:w="144" w:type="dxa"/>
            </w:tcMar>
            <w:hideMark/>
          </w:tcPr>
          <w:p w14:paraId="15619CBA" w14:textId="77777777" w:rsidR="00CF4242" w:rsidRPr="00512670" w:rsidRDefault="00CF4242" w:rsidP="008824DF">
            <w:pPr>
              <w:spacing w:line="240" w:lineRule="auto"/>
              <w:jc w:val="left"/>
              <w:rPr>
                <w:sz w:val="21"/>
                <w:szCs w:val="21"/>
              </w:rPr>
            </w:pPr>
            <w:r w:rsidRPr="00512670">
              <w:rPr>
                <w:b/>
                <w:bCs/>
                <w:sz w:val="21"/>
                <w:szCs w:val="21"/>
              </w:rPr>
              <w:t>Yellow: &lt;75%, but still &gt; Red Zone</w:t>
            </w:r>
          </w:p>
        </w:tc>
        <w:tc>
          <w:tcPr>
            <w:tcW w:w="5220" w:type="dxa"/>
            <w:shd w:val="clear" w:color="auto" w:fill="FFD966"/>
            <w:tcMar>
              <w:top w:w="72" w:type="dxa"/>
              <w:left w:w="144" w:type="dxa"/>
              <w:bottom w:w="72" w:type="dxa"/>
              <w:right w:w="144" w:type="dxa"/>
            </w:tcMar>
            <w:hideMark/>
          </w:tcPr>
          <w:p w14:paraId="5CC642F1" w14:textId="77777777" w:rsidR="00CF4242" w:rsidRPr="00512670" w:rsidRDefault="008824DF" w:rsidP="00CF4242">
            <w:pPr>
              <w:spacing w:line="240" w:lineRule="auto"/>
              <w:jc w:val="left"/>
              <w:rPr>
                <w:sz w:val="21"/>
                <w:szCs w:val="21"/>
              </w:rPr>
            </w:pPr>
            <w:r w:rsidRPr="00512670">
              <w:rPr>
                <w:sz w:val="21"/>
                <w:szCs w:val="21"/>
              </w:rPr>
              <w:t>Interventions may include but are not limited to a required analysis of recruitment barriers and a corrective action plan for review by the DCP.</w:t>
            </w:r>
          </w:p>
        </w:tc>
      </w:tr>
      <w:tr w:rsidR="008824DF" w:rsidRPr="00512670" w14:paraId="1FDBF874" w14:textId="77777777" w:rsidTr="00512670">
        <w:tc>
          <w:tcPr>
            <w:tcW w:w="3690" w:type="dxa"/>
            <w:shd w:val="clear" w:color="auto" w:fill="CC0000"/>
            <w:tcMar>
              <w:top w:w="72" w:type="dxa"/>
              <w:left w:w="144" w:type="dxa"/>
              <w:bottom w:w="72" w:type="dxa"/>
              <w:right w:w="144" w:type="dxa"/>
            </w:tcMar>
            <w:hideMark/>
          </w:tcPr>
          <w:p w14:paraId="36496B9C" w14:textId="77777777" w:rsidR="00CF4242" w:rsidRPr="00512670" w:rsidRDefault="00CF4242" w:rsidP="00CF4242">
            <w:pPr>
              <w:tabs>
                <w:tab w:val="left" w:pos="713"/>
              </w:tabs>
              <w:spacing w:line="240" w:lineRule="auto"/>
              <w:jc w:val="left"/>
              <w:rPr>
                <w:sz w:val="21"/>
                <w:szCs w:val="21"/>
              </w:rPr>
            </w:pPr>
            <w:r w:rsidRPr="00512670">
              <w:rPr>
                <w:b/>
                <w:bCs/>
                <w:sz w:val="21"/>
                <w:szCs w:val="21"/>
              </w:rPr>
              <w:t>Red:</w:t>
            </w:r>
            <w:r w:rsidRPr="00512670">
              <w:rPr>
                <w:b/>
                <w:bCs/>
                <w:sz w:val="21"/>
                <w:szCs w:val="21"/>
              </w:rPr>
              <w:tab/>
              <w:t>&lt;25% at end of 1</w:t>
            </w:r>
            <w:r w:rsidRPr="00512670">
              <w:rPr>
                <w:b/>
                <w:bCs/>
                <w:sz w:val="21"/>
                <w:szCs w:val="21"/>
                <w:vertAlign w:val="superscript"/>
              </w:rPr>
              <w:t>st</w:t>
            </w:r>
            <w:r w:rsidRPr="00512670">
              <w:rPr>
                <w:b/>
                <w:bCs/>
                <w:sz w:val="21"/>
                <w:szCs w:val="21"/>
              </w:rPr>
              <w:t xml:space="preserve"> quarter</w:t>
            </w:r>
          </w:p>
          <w:p w14:paraId="39B22161" w14:textId="77777777" w:rsidR="00CF4242" w:rsidRPr="00512670" w:rsidRDefault="00CF4242" w:rsidP="00CF4242">
            <w:pPr>
              <w:tabs>
                <w:tab w:val="left" w:pos="713"/>
              </w:tabs>
              <w:spacing w:line="240" w:lineRule="auto"/>
              <w:jc w:val="left"/>
              <w:rPr>
                <w:sz w:val="21"/>
                <w:szCs w:val="21"/>
              </w:rPr>
            </w:pPr>
            <w:r w:rsidRPr="00512670">
              <w:rPr>
                <w:b/>
                <w:bCs/>
                <w:sz w:val="21"/>
                <w:szCs w:val="21"/>
              </w:rPr>
              <w:tab/>
              <w:t>&lt;25% at end of 2</w:t>
            </w:r>
            <w:r w:rsidRPr="00512670">
              <w:rPr>
                <w:b/>
                <w:bCs/>
                <w:sz w:val="21"/>
                <w:szCs w:val="21"/>
                <w:vertAlign w:val="superscript"/>
              </w:rPr>
              <w:t>nd</w:t>
            </w:r>
            <w:r w:rsidRPr="00512670">
              <w:rPr>
                <w:b/>
                <w:bCs/>
                <w:sz w:val="21"/>
                <w:szCs w:val="21"/>
              </w:rPr>
              <w:t xml:space="preserve"> quarter</w:t>
            </w:r>
          </w:p>
          <w:p w14:paraId="01B75AB0" w14:textId="77777777" w:rsidR="00CF4242" w:rsidRPr="00512670" w:rsidRDefault="00CF4242" w:rsidP="00CF4242">
            <w:pPr>
              <w:tabs>
                <w:tab w:val="left" w:pos="713"/>
              </w:tabs>
              <w:spacing w:line="240" w:lineRule="auto"/>
              <w:jc w:val="left"/>
              <w:rPr>
                <w:sz w:val="21"/>
                <w:szCs w:val="21"/>
              </w:rPr>
            </w:pPr>
            <w:r w:rsidRPr="00512670">
              <w:rPr>
                <w:b/>
                <w:bCs/>
                <w:sz w:val="21"/>
                <w:szCs w:val="21"/>
              </w:rPr>
              <w:tab/>
              <w:t>&lt;50% at end of 3</w:t>
            </w:r>
            <w:r w:rsidRPr="00512670">
              <w:rPr>
                <w:b/>
                <w:bCs/>
                <w:sz w:val="21"/>
                <w:szCs w:val="21"/>
                <w:vertAlign w:val="superscript"/>
              </w:rPr>
              <w:t>rd</w:t>
            </w:r>
            <w:r w:rsidRPr="00512670">
              <w:rPr>
                <w:b/>
                <w:bCs/>
                <w:sz w:val="21"/>
                <w:szCs w:val="21"/>
              </w:rPr>
              <w:t xml:space="preserve"> quarter</w:t>
            </w:r>
          </w:p>
        </w:tc>
        <w:tc>
          <w:tcPr>
            <w:tcW w:w="5220" w:type="dxa"/>
            <w:shd w:val="clear" w:color="auto" w:fill="CC3100"/>
            <w:tcMar>
              <w:top w:w="72" w:type="dxa"/>
              <w:left w:w="144" w:type="dxa"/>
              <w:bottom w:w="72" w:type="dxa"/>
              <w:right w:w="144" w:type="dxa"/>
            </w:tcMar>
            <w:hideMark/>
          </w:tcPr>
          <w:p w14:paraId="721EBA3F" w14:textId="77777777" w:rsidR="00CF4242" w:rsidRPr="00512670" w:rsidRDefault="008824DF" w:rsidP="008824DF">
            <w:pPr>
              <w:spacing w:line="240" w:lineRule="auto"/>
              <w:jc w:val="left"/>
              <w:rPr>
                <w:sz w:val="21"/>
                <w:szCs w:val="21"/>
              </w:rPr>
            </w:pPr>
            <w:r w:rsidRPr="00512670">
              <w:rPr>
                <w:sz w:val="21"/>
                <w:szCs w:val="21"/>
              </w:rPr>
              <w:t>Interventions may include but are not limited to a corrective action plan, a site visit by DCP and CLO staff, a retreat to discuss protocol issues and consideration of study closure if continuation is not approved by DCP leadership.</w:t>
            </w:r>
          </w:p>
        </w:tc>
      </w:tr>
    </w:tbl>
    <w:p w14:paraId="54D74465" w14:textId="77777777" w:rsidR="00CF4242" w:rsidRPr="00D531DF" w:rsidRDefault="00CF4242" w:rsidP="00CF4242">
      <w:pPr>
        <w:spacing w:line="240" w:lineRule="auto"/>
        <w:jc w:val="left"/>
      </w:pPr>
    </w:p>
    <w:p w14:paraId="6167B0C1" w14:textId="77777777" w:rsidR="003C1E13" w:rsidRPr="003C1E13" w:rsidRDefault="003C1E13" w:rsidP="003C1E13">
      <w:pPr>
        <w:pStyle w:val="ListParagraph"/>
        <w:numPr>
          <w:ilvl w:val="0"/>
          <w:numId w:val="22"/>
        </w:numPr>
        <w:autoSpaceDE w:val="0"/>
        <w:autoSpaceDN w:val="0"/>
        <w:adjustRightInd w:val="0"/>
        <w:spacing w:after="120" w:line="240" w:lineRule="auto"/>
        <w:rPr>
          <w:rFonts w:ascii="Times New Roman" w:hAnsi="Times New Roman"/>
        </w:rPr>
      </w:pPr>
      <w:r w:rsidRPr="000728C4">
        <w:rPr>
          <w:rFonts w:ascii="Times New Roman" w:hAnsi="Times New Roman"/>
          <w:u w:val="single"/>
        </w:rPr>
        <w:lastRenderedPageBreak/>
        <w:t>Think Tank</w:t>
      </w:r>
      <w:r w:rsidRPr="003C1E13">
        <w:rPr>
          <w:rFonts w:ascii="Times New Roman" w:hAnsi="Times New Roman"/>
        </w:rPr>
        <w:t>,</w:t>
      </w:r>
      <w:r w:rsidR="00866BC4" w:rsidRPr="00866BC4">
        <w:rPr>
          <w:rFonts w:ascii="Times New Roman" w:hAnsi="Times New Roman"/>
        </w:rPr>
        <w:t xml:space="preserve"> </w:t>
      </w:r>
      <w:r w:rsidR="00866BC4" w:rsidRPr="003C1E13">
        <w:rPr>
          <w:rFonts w:ascii="Times New Roman" w:hAnsi="Times New Roman"/>
        </w:rPr>
        <w:t xml:space="preserve">a </w:t>
      </w:r>
      <w:r w:rsidR="00531474">
        <w:rPr>
          <w:rFonts w:ascii="Times New Roman" w:hAnsi="Times New Roman"/>
        </w:rPr>
        <w:t>group</w:t>
      </w:r>
      <w:r w:rsidR="00866BC4">
        <w:rPr>
          <w:rFonts w:ascii="Times New Roman" w:hAnsi="Times New Roman"/>
        </w:rPr>
        <w:t xml:space="preserve"> of</w:t>
      </w:r>
      <w:r w:rsidR="003E1400">
        <w:rPr>
          <w:rFonts w:ascii="Times New Roman" w:hAnsi="Times New Roman"/>
        </w:rPr>
        <w:t xml:space="preserve"> Consortia and DCP representatives</w:t>
      </w:r>
      <w:r w:rsidR="00866BC4">
        <w:rPr>
          <w:rFonts w:ascii="Times New Roman" w:hAnsi="Times New Roman"/>
        </w:rPr>
        <w:t xml:space="preserve"> </w:t>
      </w:r>
      <w:r w:rsidR="004546E6">
        <w:rPr>
          <w:rFonts w:ascii="Times New Roman" w:hAnsi="Times New Roman"/>
        </w:rPr>
        <w:t>with expertise in clinical trial management and coordination</w:t>
      </w:r>
      <w:r w:rsidR="00531474">
        <w:rPr>
          <w:rFonts w:ascii="Times New Roman" w:hAnsi="Times New Roman"/>
        </w:rPr>
        <w:t>,</w:t>
      </w:r>
      <w:r w:rsidR="0012334B">
        <w:rPr>
          <w:rFonts w:ascii="Times New Roman" w:hAnsi="Times New Roman"/>
        </w:rPr>
        <w:t xml:space="preserve"> assembled to</w:t>
      </w:r>
      <w:r w:rsidR="00AB7363" w:rsidRPr="003C1E13">
        <w:rPr>
          <w:rFonts w:ascii="Times New Roman" w:hAnsi="Times New Roman"/>
        </w:rPr>
        <w:t xml:space="preserve"> </w:t>
      </w:r>
      <w:r w:rsidR="00AB7363">
        <w:rPr>
          <w:rFonts w:ascii="Times New Roman" w:hAnsi="Times New Roman"/>
        </w:rPr>
        <w:t xml:space="preserve">facilitate </w:t>
      </w:r>
      <w:r w:rsidR="004546E6">
        <w:rPr>
          <w:rFonts w:ascii="Times New Roman" w:hAnsi="Times New Roman"/>
        </w:rPr>
        <w:t>discussion of real-</w:t>
      </w:r>
      <w:r w:rsidR="00F85FDD">
        <w:rPr>
          <w:rFonts w:ascii="Times New Roman" w:hAnsi="Times New Roman"/>
        </w:rPr>
        <w:t>world clinical</w:t>
      </w:r>
      <w:r w:rsidR="004546E6">
        <w:rPr>
          <w:rFonts w:ascii="Times New Roman" w:hAnsi="Times New Roman"/>
        </w:rPr>
        <w:t xml:space="preserve"> trial implementation issues, and </w:t>
      </w:r>
      <w:r w:rsidR="00AB7363">
        <w:rPr>
          <w:rFonts w:ascii="Times New Roman" w:hAnsi="Times New Roman"/>
        </w:rPr>
        <w:t xml:space="preserve">collaborative identification of </w:t>
      </w:r>
      <w:r w:rsidR="004546E6">
        <w:rPr>
          <w:rFonts w:ascii="Times New Roman" w:hAnsi="Times New Roman"/>
        </w:rPr>
        <w:t xml:space="preserve">knowledge and </w:t>
      </w:r>
      <w:r w:rsidR="00AB7363">
        <w:rPr>
          <w:rFonts w:ascii="Times New Roman" w:hAnsi="Times New Roman"/>
        </w:rPr>
        <w:t>training gaps</w:t>
      </w:r>
      <w:r w:rsidR="003E1400">
        <w:rPr>
          <w:rFonts w:ascii="Times New Roman" w:hAnsi="Times New Roman"/>
        </w:rPr>
        <w:t xml:space="preserve"> as well as to provide practical feedback for DCP leadership</w:t>
      </w:r>
      <w:r w:rsidR="0012334B">
        <w:rPr>
          <w:rFonts w:ascii="Times New Roman" w:hAnsi="Times New Roman"/>
        </w:rPr>
        <w:t>.</w:t>
      </w:r>
    </w:p>
    <w:p w14:paraId="61F4C2B0" w14:textId="77777777" w:rsidR="0082079E" w:rsidRPr="0075308A" w:rsidRDefault="00D531DF" w:rsidP="00AB79F3">
      <w:pPr>
        <w:pStyle w:val="Heading3"/>
        <w:spacing w:after="100" w:afterAutospacing="1" w:line="240" w:lineRule="auto"/>
      </w:pPr>
      <w:r>
        <w:t xml:space="preserve">Planning </w:t>
      </w:r>
      <w:r w:rsidR="0082079E" w:rsidRPr="0075308A">
        <w:t>Responsibilities:</w:t>
      </w:r>
    </w:p>
    <w:p w14:paraId="05DDCD55" w14:textId="3B27549D" w:rsidR="008F37D9" w:rsidRDefault="00C6306D" w:rsidP="008F37D9">
      <w:pPr>
        <w:pStyle w:val="P1-StandPara"/>
        <w:spacing w:after="100" w:afterAutospacing="1" w:line="240" w:lineRule="auto"/>
        <w:ind w:left="360" w:firstLine="0"/>
      </w:pPr>
      <w:r w:rsidRPr="0075308A">
        <w:t xml:space="preserve">Use the </w:t>
      </w:r>
      <w:hyperlink r:id="rId15" w:history="1">
        <w:r w:rsidRPr="005F681D">
          <w:rPr>
            <w:rStyle w:val="Hyperlink"/>
          </w:rPr>
          <w:t>Recruitment, Retention and Adherence (RRA) Plan</w:t>
        </w:r>
        <w:r w:rsidR="004546E6" w:rsidRPr="005F681D">
          <w:rPr>
            <w:rStyle w:val="Hyperlink"/>
          </w:rPr>
          <w:t xml:space="preserve"> </w:t>
        </w:r>
        <w:r w:rsidR="00D436F6" w:rsidRPr="005F681D">
          <w:rPr>
            <w:rStyle w:val="Hyperlink"/>
          </w:rPr>
          <w:t>Outline T</w:t>
        </w:r>
        <w:r w:rsidR="004546E6" w:rsidRPr="005F681D">
          <w:rPr>
            <w:rStyle w:val="Hyperlink"/>
          </w:rPr>
          <w:t>emplate</w:t>
        </w:r>
      </w:hyperlink>
      <w:r>
        <w:rPr>
          <w:i/>
          <w:smallCaps/>
          <w:lang w:eastAsia="ar-SA"/>
        </w:rPr>
        <w:t xml:space="preserve"> </w:t>
      </w:r>
      <w:r w:rsidR="00F85FDD" w:rsidRPr="0075308A">
        <w:t xml:space="preserve">to </w:t>
      </w:r>
      <w:r w:rsidR="00F85FDD">
        <w:t>formulate</w:t>
      </w:r>
      <w:r w:rsidR="009718CA">
        <w:t xml:space="preserve"> and </w:t>
      </w:r>
      <w:r w:rsidR="004546E6">
        <w:t>document protocol-specific</w:t>
      </w:r>
      <w:r w:rsidR="004546E6" w:rsidRPr="004546E6">
        <w:t xml:space="preserve"> </w:t>
      </w:r>
      <w:r w:rsidR="004546E6">
        <w:t>recruitment and retention adherence plan</w:t>
      </w:r>
      <w:r w:rsidR="009718CA">
        <w:t>s.</w:t>
      </w:r>
      <w:r>
        <w:t xml:space="preserve"> </w:t>
      </w:r>
      <w:r w:rsidR="0045545A">
        <w:t xml:space="preserve"> The plans should include strategies that will be implemented by the i</w:t>
      </w:r>
      <w:r w:rsidR="0045545A" w:rsidRPr="0075308A">
        <w:t>nvestigators, site</w:t>
      </w:r>
      <w:r w:rsidR="009718CA" w:rsidRPr="0075308A">
        <w:t xml:space="preserve"> </w:t>
      </w:r>
      <w:r w:rsidR="009718CA">
        <w:t>c</w:t>
      </w:r>
      <w:r w:rsidR="009718CA" w:rsidRPr="0075308A">
        <w:t>oordinators</w:t>
      </w:r>
      <w:r w:rsidR="008F37D9" w:rsidRPr="0075308A">
        <w:t>, and designees at each enrolling site</w:t>
      </w:r>
      <w:r w:rsidR="003B1FB4">
        <w:t>.</w:t>
      </w:r>
      <w:r w:rsidR="00FA3D01">
        <w:t xml:space="preserve"> </w:t>
      </w:r>
      <w:r w:rsidR="003B1FB4">
        <w:t xml:space="preserve"> </w:t>
      </w:r>
      <w:r w:rsidR="00FA3D01">
        <w:t>The assigned personnel will document which strategies are used to identify and contac</w:t>
      </w:r>
      <w:r w:rsidR="00B02A15">
        <w:t>t each study candidate in order t</w:t>
      </w:r>
      <w:r w:rsidR="00FA3D01">
        <w:t xml:space="preserve">o track implementation and effectiveness of the strategies. </w:t>
      </w:r>
      <w:r w:rsidR="00380060">
        <w:t>Components of th</w:t>
      </w:r>
      <w:r w:rsidR="00C47306">
        <w:t xml:space="preserve">e planning requirement </w:t>
      </w:r>
      <w:r w:rsidR="00380060">
        <w:t>are outlined below:</w:t>
      </w:r>
    </w:p>
    <w:p w14:paraId="291ADEDE" w14:textId="0459D7A3" w:rsidR="00380060" w:rsidRDefault="00380060" w:rsidP="005D4B8A">
      <w:pPr>
        <w:pStyle w:val="ListParagraph"/>
        <w:numPr>
          <w:ilvl w:val="0"/>
          <w:numId w:val="29"/>
        </w:numPr>
        <w:rPr>
          <w:rFonts w:ascii="Times New Roman" w:hAnsi="Times New Roman"/>
        </w:rPr>
      </w:pPr>
      <w:r w:rsidRPr="00380060">
        <w:rPr>
          <w:rFonts w:ascii="Times New Roman" w:hAnsi="Times New Roman"/>
        </w:rPr>
        <w:t xml:space="preserve">The RRA Plan is to </w:t>
      </w:r>
      <w:r>
        <w:rPr>
          <w:rFonts w:ascii="Times New Roman" w:hAnsi="Times New Roman"/>
        </w:rPr>
        <w:t xml:space="preserve">be </w:t>
      </w:r>
      <w:r w:rsidRPr="00380060">
        <w:rPr>
          <w:rFonts w:ascii="Times New Roman" w:hAnsi="Times New Roman"/>
        </w:rPr>
        <w:t>inclusive</w:t>
      </w:r>
      <w:r>
        <w:rPr>
          <w:rFonts w:ascii="Times New Roman" w:hAnsi="Times New Roman"/>
        </w:rPr>
        <w:t xml:space="preserve"> of each PO plan</w:t>
      </w:r>
      <w:r w:rsidRPr="00380060">
        <w:rPr>
          <w:rFonts w:ascii="Times New Roman" w:hAnsi="Times New Roman"/>
        </w:rPr>
        <w:t xml:space="preserve"> (as developed in consultation with site PI and </w:t>
      </w:r>
      <w:r w:rsidR="000E1DE0" w:rsidRPr="00380060">
        <w:rPr>
          <w:rFonts w:ascii="Times New Roman" w:hAnsi="Times New Roman"/>
        </w:rPr>
        <w:t xml:space="preserve">coordinator) </w:t>
      </w:r>
      <w:r w:rsidR="00E5166D">
        <w:rPr>
          <w:rFonts w:ascii="Times New Roman" w:hAnsi="Times New Roman"/>
        </w:rPr>
        <w:t xml:space="preserve">and </w:t>
      </w:r>
      <w:r w:rsidR="000E09F5">
        <w:rPr>
          <w:rFonts w:ascii="Times New Roman" w:hAnsi="Times New Roman"/>
        </w:rPr>
        <w:t xml:space="preserve">is </w:t>
      </w:r>
      <w:r w:rsidR="00C47306">
        <w:rPr>
          <w:rFonts w:ascii="Times New Roman" w:hAnsi="Times New Roman"/>
        </w:rPr>
        <w:t xml:space="preserve">to be </w:t>
      </w:r>
      <w:r w:rsidR="000E1DE0" w:rsidRPr="00380060">
        <w:rPr>
          <w:rFonts w:ascii="Times New Roman" w:hAnsi="Times New Roman"/>
        </w:rPr>
        <w:t>included</w:t>
      </w:r>
      <w:r w:rsidRPr="00380060">
        <w:rPr>
          <w:rFonts w:ascii="Times New Roman" w:hAnsi="Times New Roman"/>
        </w:rPr>
        <w:t xml:space="preserve"> as part of the second protocol submission to DCP</w:t>
      </w:r>
      <w:r w:rsidR="00E5166D">
        <w:rPr>
          <w:rFonts w:ascii="Times New Roman" w:hAnsi="Times New Roman"/>
        </w:rPr>
        <w:t xml:space="preserve"> </w:t>
      </w:r>
      <w:r w:rsidR="00E5166D" w:rsidRPr="00E5166D">
        <w:rPr>
          <w:rFonts w:ascii="Times New Roman" w:hAnsi="Times New Roman"/>
        </w:rPr>
        <w:t>Protocol Information Office (PIO)</w:t>
      </w:r>
      <w:r w:rsidR="00E5166D">
        <w:rPr>
          <w:rFonts w:ascii="Times New Roman" w:hAnsi="Times New Roman"/>
        </w:rPr>
        <w:t xml:space="preserve"> for review.</w:t>
      </w:r>
    </w:p>
    <w:p w14:paraId="06E4ABD7" w14:textId="77777777" w:rsidR="00E5166D" w:rsidRDefault="0012334B" w:rsidP="005D4B8A">
      <w:pPr>
        <w:pStyle w:val="ListParagraph"/>
        <w:numPr>
          <w:ilvl w:val="0"/>
          <w:numId w:val="29"/>
        </w:numPr>
        <w:rPr>
          <w:rFonts w:ascii="Times New Roman" w:hAnsi="Times New Roman"/>
        </w:rPr>
      </w:pPr>
      <w:r>
        <w:rPr>
          <w:rFonts w:ascii="Times New Roman" w:hAnsi="Times New Roman"/>
        </w:rPr>
        <w:t xml:space="preserve">The </w:t>
      </w:r>
      <w:r w:rsidR="00E5166D">
        <w:rPr>
          <w:rFonts w:ascii="Times New Roman" w:hAnsi="Times New Roman"/>
        </w:rPr>
        <w:t>RRA Plan will be revised per DCP recommendation</w:t>
      </w:r>
      <w:r w:rsidR="003B1FB4">
        <w:rPr>
          <w:rFonts w:ascii="Times New Roman" w:hAnsi="Times New Roman"/>
        </w:rPr>
        <w:t>.</w:t>
      </w:r>
    </w:p>
    <w:p w14:paraId="0DA10BA2" w14:textId="77777777" w:rsidR="00E5166D" w:rsidRDefault="00E5166D" w:rsidP="005D4B8A">
      <w:pPr>
        <w:pStyle w:val="ListParagraph"/>
        <w:numPr>
          <w:ilvl w:val="0"/>
          <w:numId w:val="29"/>
        </w:numPr>
        <w:rPr>
          <w:rFonts w:ascii="Times New Roman" w:hAnsi="Times New Roman"/>
        </w:rPr>
      </w:pPr>
      <w:r>
        <w:rPr>
          <w:rFonts w:ascii="Times New Roman" w:hAnsi="Times New Roman"/>
        </w:rPr>
        <w:t xml:space="preserve">The </w:t>
      </w:r>
      <w:r w:rsidR="007D2AA9">
        <w:rPr>
          <w:rFonts w:ascii="Times New Roman" w:hAnsi="Times New Roman"/>
        </w:rPr>
        <w:t xml:space="preserve">approved </w:t>
      </w:r>
      <w:r>
        <w:rPr>
          <w:rFonts w:ascii="Times New Roman" w:hAnsi="Times New Roman"/>
        </w:rPr>
        <w:t>RRA Plan is to be distributed to each study PO</w:t>
      </w:r>
      <w:r w:rsidR="00C47306">
        <w:rPr>
          <w:rFonts w:ascii="Times New Roman" w:hAnsi="Times New Roman"/>
        </w:rPr>
        <w:t>.</w:t>
      </w:r>
    </w:p>
    <w:p w14:paraId="764805FD" w14:textId="77777777" w:rsidR="00D531DF" w:rsidRDefault="00D531DF" w:rsidP="00D531DF">
      <w:pPr>
        <w:pStyle w:val="Heading3"/>
        <w:spacing w:after="100" w:afterAutospacing="1" w:line="240" w:lineRule="auto"/>
        <w:ind w:left="360"/>
      </w:pPr>
      <w:bookmarkStart w:id="0" w:name="_Hlk488919056"/>
      <w:bookmarkStart w:id="1" w:name="_Hlk488919095"/>
      <w:r w:rsidRPr="00D531DF">
        <w:t>CLO AQuIP Documentation and Reporting Requirements</w:t>
      </w:r>
    </w:p>
    <w:bookmarkEnd w:id="0"/>
    <w:p w14:paraId="441AA755" w14:textId="1A90EDB8" w:rsidR="00F40F15" w:rsidRPr="00835DAA" w:rsidRDefault="002A2E17" w:rsidP="00835DAA">
      <w:pPr>
        <w:pStyle w:val="P1-StandPara"/>
        <w:spacing w:after="100" w:afterAutospacing="1" w:line="240" w:lineRule="auto"/>
        <w:ind w:left="360" w:firstLine="0"/>
      </w:pPr>
      <w:r>
        <w:t xml:space="preserve">The CLO will provide </w:t>
      </w:r>
      <w:r w:rsidR="0045545A">
        <w:t xml:space="preserve">oversight </w:t>
      </w:r>
      <w:r w:rsidR="009718CA">
        <w:t xml:space="preserve">of </w:t>
      </w:r>
      <w:r w:rsidR="00835DAA">
        <w:t>a</w:t>
      </w:r>
      <w:r w:rsidR="00835DAA" w:rsidRPr="002A2E17">
        <w:t>ccrual</w:t>
      </w:r>
      <w:r w:rsidR="00835DAA">
        <w:t xml:space="preserve"> and journal event documentation for </w:t>
      </w:r>
      <w:r>
        <w:t xml:space="preserve">their respective </w:t>
      </w:r>
      <w:r w:rsidR="008B4A45">
        <w:t>POs</w:t>
      </w:r>
      <w:r w:rsidR="00C47306">
        <w:t xml:space="preserve"> </w:t>
      </w:r>
      <w:r>
        <w:t xml:space="preserve">to assure </w:t>
      </w:r>
      <w:r w:rsidR="008B4A45">
        <w:t xml:space="preserve">timely </w:t>
      </w:r>
      <w:r w:rsidR="00682595">
        <w:t xml:space="preserve">and accurate </w:t>
      </w:r>
      <w:r w:rsidR="00835DAA">
        <w:t xml:space="preserve">data </w:t>
      </w:r>
      <w:r w:rsidR="003B1FB4">
        <w:t xml:space="preserve">entry </w:t>
      </w:r>
      <w:r w:rsidR="00765EB7">
        <w:t>via AQuIP OARS</w:t>
      </w:r>
      <w:r w:rsidR="00682595">
        <w:t xml:space="preserve">.  </w:t>
      </w:r>
      <w:r w:rsidR="006D285C">
        <w:t xml:space="preserve">All data fields are required and should be completed as instructed in the </w:t>
      </w:r>
      <w:hyperlink r:id="rId16" w:history="1">
        <w:r w:rsidR="00632BC8">
          <w:rPr>
            <w:rStyle w:val="Hyperlink"/>
          </w:rPr>
          <w:t>AQuIP OARS User Guide</w:t>
        </w:r>
      </w:hyperlink>
      <w:r w:rsidR="006D285C">
        <w:t xml:space="preserve">.  </w:t>
      </w:r>
      <w:r w:rsidR="00835DAA" w:rsidRPr="00835DAA">
        <w:t xml:space="preserve">The CLO Lead Coordinator (or designee) initiates AQuIP OARS account </w:t>
      </w:r>
      <w:r w:rsidR="000E09F5">
        <w:t>requests</w:t>
      </w:r>
      <w:r w:rsidR="00835DAA" w:rsidRPr="00835DAA">
        <w:t xml:space="preserve"> for applicable research staff members once a protocol has been approved by DCP. The CLO Lead Coordinator/designee must also notify the </w:t>
      </w:r>
      <w:hyperlink r:id="rId17" w:history="1">
        <w:r w:rsidR="00835DAA" w:rsidRPr="00835DAA">
          <w:rPr>
            <w:rStyle w:val="Hyperlink"/>
          </w:rPr>
          <w:t>DCP Help Desk</w:t>
        </w:r>
      </w:hyperlink>
      <w:r w:rsidR="00835DAA" w:rsidRPr="00835DAA">
        <w:t xml:space="preserve"> when a CLO or PO user no longer needs access to AQuIP OARS. See </w:t>
      </w:r>
      <w:hyperlink r:id="rId18" w:history="1">
        <w:r w:rsidR="00F85FDD">
          <w:rPr>
            <w:rStyle w:val="Hyperlink"/>
          </w:rPr>
          <w:t xml:space="preserve">AQuIP </w:t>
        </w:r>
        <w:r w:rsidR="00632BC8">
          <w:rPr>
            <w:rStyle w:val="Hyperlink"/>
          </w:rPr>
          <w:t>OARS User Guide</w:t>
        </w:r>
      </w:hyperlink>
      <w:r w:rsidR="00835DAA" w:rsidRPr="00835DAA">
        <w:t xml:space="preserve"> for account management details.</w:t>
      </w:r>
    </w:p>
    <w:p w14:paraId="4D923B6C" w14:textId="77777777" w:rsidR="00835DAA" w:rsidRPr="00835DAA" w:rsidRDefault="00835DAA" w:rsidP="00131B12">
      <w:pPr>
        <w:pStyle w:val="ListParagraph"/>
        <w:numPr>
          <w:ilvl w:val="0"/>
          <w:numId w:val="34"/>
        </w:numPr>
        <w:rPr>
          <w:rFonts w:ascii="Times New Roman" w:hAnsi="Times New Roman"/>
        </w:rPr>
      </w:pPr>
      <w:r w:rsidRPr="00835DAA">
        <w:rPr>
          <w:rFonts w:ascii="Times New Roman" w:hAnsi="Times New Roman"/>
        </w:rPr>
        <w:t>OARS data fields include Participant ID, First Contact Date, Recruitment Strategies, Consent Date/Status, Reasons Consent NOT Signed/Study Intervention NOT Started, Intervention Start Date, and Comments</w:t>
      </w:r>
      <w:r>
        <w:rPr>
          <w:rFonts w:ascii="Times New Roman" w:hAnsi="Times New Roman"/>
        </w:rPr>
        <w:t>.</w:t>
      </w:r>
    </w:p>
    <w:p w14:paraId="7DFE8C60" w14:textId="77777777" w:rsidR="00835DAA" w:rsidRDefault="00835DAA" w:rsidP="00835DAA">
      <w:pPr>
        <w:pStyle w:val="ListParagraph"/>
        <w:numPr>
          <w:ilvl w:val="1"/>
          <w:numId w:val="34"/>
        </w:numPr>
        <w:rPr>
          <w:rFonts w:ascii="Times New Roman" w:hAnsi="Times New Roman"/>
        </w:rPr>
      </w:pPr>
      <w:r>
        <w:rPr>
          <w:rFonts w:ascii="Times New Roman" w:hAnsi="Times New Roman"/>
        </w:rPr>
        <w:t xml:space="preserve">AQuIP data are reviewed carefully by the </w:t>
      </w:r>
      <w:r w:rsidRPr="00F40F15">
        <w:rPr>
          <w:rFonts w:ascii="Times New Roman" w:hAnsi="Times New Roman"/>
        </w:rPr>
        <w:t>DCP auditing and informatics support contractor</w:t>
      </w:r>
      <w:r>
        <w:rPr>
          <w:rFonts w:ascii="Times New Roman" w:hAnsi="Times New Roman"/>
        </w:rPr>
        <w:t xml:space="preserve">.  Inaccurate data or insufficient data specifications will result in data queries.  </w:t>
      </w:r>
    </w:p>
    <w:p w14:paraId="295C3F87" w14:textId="77777777" w:rsidR="00835DAA" w:rsidRDefault="00835DAA" w:rsidP="00835DAA">
      <w:pPr>
        <w:pStyle w:val="ListParagraph"/>
        <w:numPr>
          <w:ilvl w:val="1"/>
          <w:numId w:val="34"/>
        </w:numPr>
        <w:rPr>
          <w:rFonts w:ascii="Times New Roman" w:hAnsi="Times New Roman"/>
        </w:rPr>
      </w:pPr>
      <w:r>
        <w:rPr>
          <w:rFonts w:ascii="Times New Roman" w:hAnsi="Times New Roman"/>
        </w:rPr>
        <w:t xml:space="preserve">The CLO is responsible for resolving or overseeing resolution of data queries within 30 days from identification. </w:t>
      </w:r>
    </w:p>
    <w:p w14:paraId="52FDF33C" w14:textId="06315F1F" w:rsidR="0061428D" w:rsidRDefault="00835DAA" w:rsidP="0061428D">
      <w:pPr>
        <w:pStyle w:val="ListParagraph"/>
        <w:numPr>
          <w:ilvl w:val="0"/>
          <w:numId w:val="34"/>
        </w:numPr>
        <w:rPr>
          <w:rFonts w:ascii="Times New Roman" w:hAnsi="Times New Roman"/>
        </w:rPr>
      </w:pPr>
      <w:r>
        <w:rPr>
          <w:rFonts w:ascii="Times New Roman" w:hAnsi="Times New Roman"/>
        </w:rPr>
        <w:t xml:space="preserve">CLOs are responsible </w:t>
      </w:r>
      <w:r w:rsidR="0061428D">
        <w:rPr>
          <w:rFonts w:ascii="Times New Roman" w:hAnsi="Times New Roman"/>
        </w:rPr>
        <w:t>for reviewing their PO</w:t>
      </w:r>
      <w:r w:rsidR="007D2AA9">
        <w:rPr>
          <w:rFonts w:ascii="Times New Roman" w:hAnsi="Times New Roman"/>
        </w:rPr>
        <w:t xml:space="preserve">s’ </w:t>
      </w:r>
      <w:r w:rsidR="001D382E">
        <w:rPr>
          <w:rFonts w:ascii="Times New Roman" w:hAnsi="Times New Roman"/>
        </w:rPr>
        <w:t xml:space="preserve">monthly </w:t>
      </w:r>
      <w:r w:rsidR="00F85FDD">
        <w:rPr>
          <w:rFonts w:ascii="Times New Roman" w:hAnsi="Times New Roman"/>
        </w:rPr>
        <w:t>accrual and</w:t>
      </w:r>
      <w:r w:rsidR="001D382E">
        <w:rPr>
          <w:rFonts w:ascii="Times New Roman" w:hAnsi="Times New Roman"/>
        </w:rPr>
        <w:t xml:space="preserve"> </w:t>
      </w:r>
      <w:r w:rsidR="0061428D">
        <w:rPr>
          <w:rFonts w:ascii="Times New Roman" w:hAnsi="Times New Roman"/>
        </w:rPr>
        <w:t>journal event data accuracy and submitting</w:t>
      </w:r>
      <w:r w:rsidR="0061428D" w:rsidRPr="0061428D">
        <w:rPr>
          <w:rFonts w:ascii="Times New Roman" w:hAnsi="Times New Roman"/>
        </w:rPr>
        <w:t xml:space="preserve"> </w:t>
      </w:r>
      <w:r w:rsidR="0061428D">
        <w:rPr>
          <w:rFonts w:ascii="Times New Roman" w:hAnsi="Times New Roman"/>
        </w:rPr>
        <w:t xml:space="preserve">the </w:t>
      </w:r>
      <w:r w:rsidR="0061428D" w:rsidRPr="0061428D">
        <w:rPr>
          <w:rFonts w:ascii="Times New Roman" w:hAnsi="Times New Roman"/>
        </w:rPr>
        <w:t xml:space="preserve">AQuIP data via OARS </w:t>
      </w:r>
      <w:r w:rsidR="0061428D" w:rsidRPr="0061428D">
        <w:rPr>
          <w:rFonts w:ascii="Times New Roman" w:hAnsi="Times New Roman"/>
          <w:b/>
        </w:rPr>
        <w:t xml:space="preserve">no later than the 10th of </w:t>
      </w:r>
      <w:r w:rsidR="001D382E">
        <w:rPr>
          <w:rFonts w:ascii="Times New Roman" w:hAnsi="Times New Roman"/>
          <w:b/>
        </w:rPr>
        <w:t>the following</w:t>
      </w:r>
      <w:r w:rsidR="001D382E" w:rsidRPr="0061428D">
        <w:rPr>
          <w:rFonts w:ascii="Times New Roman" w:hAnsi="Times New Roman"/>
          <w:b/>
        </w:rPr>
        <w:t xml:space="preserve"> </w:t>
      </w:r>
      <w:r w:rsidR="0061428D" w:rsidRPr="0061428D">
        <w:rPr>
          <w:rFonts w:ascii="Times New Roman" w:hAnsi="Times New Roman"/>
          <w:b/>
        </w:rPr>
        <w:t>month</w:t>
      </w:r>
      <w:r w:rsidR="001D382E">
        <w:rPr>
          <w:rFonts w:ascii="Times New Roman" w:hAnsi="Times New Roman"/>
          <w:b/>
        </w:rPr>
        <w:t>.</w:t>
      </w:r>
      <w:r w:rsidR="0061428D" w:rsidRPr="0061428D">
        <w:rPr>
          <w:rFonts w:ascii="Times New Roman" w:hAnsi="Times New Roman"/>
        </w:rPr>
        <w:t xml:space="preserve"> </w:t>
      </w:r>
    </w:p>
    <w:p w14:paraId="2F1AD60B" w14:textId="3681D670" w:rsidR="00372D15" w:rsidRPr="00372D15" w:rsidRDefault="00372D15" w:rsidP="00372D15">
      <w:pPr>
        <w:pStyle w:val="ListParagraph"/>
        <w:numPr>
          <w:ilvl w:val="0"/>
          <w:numId w:val="34"/>
        </w:numPr>
        <w:rPr>
          <w:rFonts w:ascii="Times New Roman" w:hAnsi="Times New Roman"/>
        </w:rPr>
      </w:pPr>
      <w:bookmarkStart w:id="2" w:name="_Hlk488919034"/>
      <w:r>
        <w:rPr>
          <w:rFonts w:ascii="Times New Roman" w:hAnsi="Times New Roman"/>
        </w:rPr>
        <w:t xml:space="preserve">Discontinuation of monthly reporting is determined by DCP and contingent upon notification via the Study Status Update Form specifying accrual closure (non-temporary) and confirmation that all OARS data queries are resolved. The DCP Help Desk will </w:t>
      </w:r>
      <w:r w:rsidR="00B80C5E">
        <w:rPr>
          <w:rFonts w:ascii="Times New Roman" w:hAnsi="Times New Roman"/>
        </w:rPr>
        <w:t xml:space="preserve">send the CLO a confirmation of reporting </w:t>
      </w:r>
      <w:r>
        <w:rPr>
          <w:rFonts w:ascii="Times New Roman" w:hAnsi="Times New Roman"/>
        </w:rPr>
        <w:t xml:space="preserve">discontinuation </w:t>
      </w:r>
      <w:r w:rsidR="00B80C5E">
        <w:rPr>
          <w:rFonts w:ascii="Times New Roman" w:hAnsi="Times New Roman"/>
        </w:rPr>
        <w:t>on behalf of DCP</w:t>
      </w:r>
      <w:r>
        <w:rPr>
          <w:rFonts w:ascii="Times New Roman" w:hAnsi="Times New Roman"/>
        </w:rPr>
        <w:t>.</w:t>
      </w:r>
    </w:p>
    <w:bookmarkEnd w:id="1"/>
    <w:bookmarkEnd w:id="2"/>
    <w:p w14:paraId="736932CA" w14:textId="77777777" w:rsidR="00D531DF" w:rsidRDefault="00D531DF" w:rsidP="00D531DF">
      <w:pPr>
        <w:pStyle w:val="Heading3"/>
        <w:spacing w:after="100" w:afterAutospacing="1" w:line="240" w:lineRule="auto"/>
        <w:ind w:left="360"/>
      </w:pPr>
      <w:r w:rsidRPr="00D531DF">
        <w:t>CLO AQuIP Oversight</w:t>
      </w:r>
      <w:r>
        <w:t xml:space="preserve"> Monitoring</w:t>
      </w:r>
    </w:p>
    <w:p w14:paraId="25CE621A" w14:textId="1D72D424" w:rsidR="00B215D1" w:rsidRDefault="007D2AA9" w:rsidP="00DB737A">
      <w:pPr>
        <w:spacing w:after="80"/>
        <w:rPr>
          <w:color w:val="000000"/>
        </w:rPr>
      </w:pPr>
      <w:r>
        <w:t>T</w:t>
      </w:r>
      <w:r w:rsidRPr="002A2E17">
        <w:t xml:space="preserve">he </w:t>
      </w:r>
      <w:r w:rsidR="00E909BC">
        <w:t xml:space="preserve">AQuIP Report </w:t>
      </w:r>
      <w:r w:rsidR="00E909BC" w:rsidRPr="002A2E17">
        <w:t>data</w:t>
      </w:r>
      <w:r w:rsidR="00706BCB">
        <w:t xml:space="preserve"> for each month</w:t>
      </w:r>
      <w:r w:rsidR="00E909BC">
        <w:t xml:space="preserve"> </w:t>
      </w:r>
      <w:r>
        <w:t>is</w:t>
      </w:r>
      <w:r w:rsidR="009718CA">
        <w:t xml:space="preserve"> </w:t>
      </w:r>
      <w:r>
        <w:t xml:space="preserve">submitted </w:t>
      </w:r>
      <w:r w:rsidR="00E909BC">
        <w:t>on</w:t>
      </w:r>
      <w:r w:rsidR="00706BCB">
        <w:t xml:space="preserve"> or before</w:t>
      </w:r>
      <w:r w:rsidR="00E909BC">
        <w:t xml:space="preserve"> the 10</w:t>
      </w:r>
      <w:r w:rsidR="00E909BC" w:rsidRPr="00E909BC">
        <w:rPr>
          <w:vertAlign w:val="superscript"/>
        </w:rPr>
        <w:t>th</w:t>
      </w:r>
      <w:r w:rsidR="00E909BC">
        <w:t xml:space="preserve"> of </w:t>
      </w:r>
      <w:r w:rsidR="00706BCB">
        <w:t xml:space="preserve">the following </w:t>
      </w:r>
      <w:r w:rsidR="00E909BC">
        <w:t xml:space="preserve">month </w:t>
      </w:r>
      <w:r w:rsidR="00706BCB">
        <w:t xml:space="preserve">for review by the </w:t>
      </w:r>
      <w:r w:rsidR="00706BCB" w:rsidRPr="00F40F15">
        <w:t xml:space="preserve">DCP auditing and informatics support </w:t>
      </w:r>
      <w:r w:rsidR="00F85FDD" w:rsidRPr="00F40F15">
        <w:t>contractor</w:t>
      </w:r>
      <w:r w:rsidR="00F85FDD">
        <w:t>, who</w:t>
      </w:r>
      <w:r w:rsidR="00706BCB">
        <w:t xml:space="preserve"> will </w:t>
      </w:r>
      <w:r w:rsidR="00A14B3A" w:rsidRPr="002A2E17">
        <w:t>aggregate</w:t>
      </w:r>
      <w:r w:rsidR="00165E0B">
        <w:t xml:space="preserve"> the data</w:t>
      </w:r>
      <w:r w:rsidR="00A14B3A" w:rsidRPr="002A2E17">
        <w:t>,</w:t>
      </w:r>
      <w:r w:rsidR="0061428D">
        <w:t xml:space="preserve"> perform</w:t>
      </w:r>
      <w:r w:rsidR="00706BCB">
        <w:t xml:space="preserve"> </w:t>
      </w:r>
      <w:r w:rsidR="0061428D">
        <w:t xml:space="preserve">data integrity </w:t>
      </w:r>
      <w:r w:rsidR="0061428D">
        <w:lastRenderedPageBreak/>
        <w:t xml:space="preserve">checks, </w:t>
      </w:r>
      <w:r w:rsidR="00A14B3A" w:rsidRPr="002A2E17">
        <w:t>send data queries back to the CLOs</w:t>
      </w:r>
      <w:r w:rsidR="0061428D">
        <w:t xml:space="preserve">, and </w:t>
      </w:r>
      <w:r w:rsidR="0061428D" w:rsidRPr="002A2E17">
        <w:t>generate the AQuIP Zone Monitoring Reports</w:t>
      </w:r>
      <w:r w:rsidR="0061428D">
        <w:t xml:space="preserve"> (refer to Overview section A5)</w:t>
      </w:r>
      <w:r w:rsidR="00E909BC">
        <w:t xml:space="preserve">.  </w:t>
      </w:r>
      <w:r w:rsidR="0061428D">
        <w:t xml:space="preserve">The </w:t>
      </w:r>
      <w:r w:rsidR="00E909BC">
        <w:t xml:space="preserve">reports </w:t>
      </w:r>
      <w:r w:rsidR="00B215D1">
        <w:t xml:space="preserve">support </w:t>
      </w:r>
      <w:r w:rsidR="00B215D1" w:rsidRPr="002A2E17">
        <w:t xml:space="preserve">DCP and </w:t>
      </w:r>
      <w:r w:rsidR="00706BCB">
        <w:t xml:space="preserve">the </w:t>
      </w:r>
      <w:r w:rsidR="00B215D1" w:rsidRPr="002A2E17">
        <w:t>CLO</w:t>
      </w:r>
      <w:r w:rsidR="00B215D1">
        <w:t xml:space="preserve"> in early </w:t>
      </w:r>
      <w:r w:rsidR="00B215D1">
        <w:rPr>
          <w:color w:val="000000"/>
        </w:rPr>
        <w:t xml:space="preserve">performance </w:t>
      </w:r>
      <w:r w:rsidR="00E909BC">
        <w:rPr>
          <w:color w:val="000000"/>
        </w:rPr>
        <w:t xml:space="preserve">analysis and </w:t>
      </w:r>
      <w:r w:rsidR="001D382E">
        <w:rPr>
          <w:color w:val="000000"/>
        </w:rPr>
        <w:t>directs the</w:t>
      </w:r>
      <w:r w:rsidR="00706BCB">
        <w:rPr>
          <w:color w:val="000000"/>
        </w:rPr>
        <w:t xml:space="preserve"> responsive actions</w:t>
      </w:r>
      <w:r w:rsidR="00E909BC">
        <w:rPr>
          <w:color w:val="000000"/>
        </w:rPr>
        <w:t xml:space="preserve"> </w:t>
      </w:r>
      <w:r w:rsidR="00706BCB">
        <w:rPr>
          <w:color w:val="000000"/>
        </w:rPr>
        <w:t xml:space="preserve">to be taken as per the color-coded AQuIP Zones </w:t>
      </w:r>
      <w:r w:rsidR="00E909BC">
        <w:rPr>
          <w:color w:val="000000"/>
        </w:rPr>
        <w:t xml:space="preserve">to </w:t>
      </w:r>
      <w:r w:rsidR="00B215D1">
        <w:rPr>
          <w:color w:val="000000"/>
        </w:rPr>
        <w:t>assure</w:t>
      </w:r>
      <w:r w:rsidR="00B215D1" w:rsidRPr="00AE1DC9">
        <w:rPr>
          <w:color w:val="000000"/>
        </w:rPr>
        <w:t xml:space="preserve"> efficient conduct of clinical trials through effici</w:t>
      </w:r>
      <w:r w:rsidR="00B215D1">
        <w:rPr>
          <w:color w:val="000000"/>
        </w:rPr>
        <w:t xml:space="preserve">ent participant accrual. </w:t>
      </w:r>
    </w:p>
    <w:p w14:paraId="79963684" w14:textId="77777777" w:rsidR="00113362" w:rsidRPr="00113362" w:rsidRDefault="00113362" w:rsidP="00113362">
      <w:pPr>
        <w:pStyle w:val="ListParagraph"/>
        <w:numPr>
          <w:ilvl w:val="0"/>
          <w:numId w:val="35"/>
        </w:numPr>
        <w:rPr>
          <w:rFonts w:ascii="Times New Roman" w:hAnsi="Times New Roman"/>
        </w:rPr>
      </w:pPr>
      <w:r>
        <w:rPr>
          <w:rFonts w:ascii="Times New Roman" w:hAnsi="Times New Roman"/>
        </w:rPr>
        <w:t>The CLO must r</w:t>
      </w:r>
      <w:r w:rsidRPr="00D531DF">
        <w:rPr>
          <w:rFonts w:ascii="Times New Roman" w:hAnsi="Times New Roman"/>
        </w:rPr>
        <w:t>eview and proactively evaluate the study specific AQuIP Zone Monitoring Reports</w:t>
      </w:r>
      <w:r>
        <w:rPr>
          <w:rFonts w:ascii="Times New Roman" w:hAnsi="Times New Roman"/>
        </w:rPr>
        <w:t xml:space="preserve"> and distribute to their </w:t>
      </w:r>
      <w:proofErr w:type="spellStart"/>
      <w:r>
        <w:rPr>
          <w:rFonts w:ascii="Times New Roman" w:hAnsi="Times New Roman"/>
        </w:rPr>
        <w:t>POs.</w:t>
      </w:r>
      <w:proofErr w:type="spellEnd"/>
    </w:p>
    <w:p w14:paraId="12B65334" w14:textId="77777777" w:rsidR="00113362" w:rsidRPr="00113362" w:rsidRDefault="00E909BC" w:rsidP="00113362">
      <w:pPr>
        <w:pStyle w:val="ListParagraph"/>
        <w:numPr>
          <w:ilvl w:val="0"/>
          <w:numId w:val="35"/>
        </w:numPr>
        <w:rPr>
          <w:rFonts w:ascii="Times New Roman" w:hAnsi="Times New Roman"/>
        </w:rPr>
      </w:pPr>
      <w:r w:rsidRPr="00113362">
        <w:rPr>
          <w:rFonts w:ascii="Times New Roman" w:hAnsi="Times New Roman"/>
        </w:rPr>
        <w:t xml:space="preserve">The CLO </w:t>
      </w:r>
      <w:r w:rsidR="00113362" w:rsidRPr="00113362">
        <w:rPr>
          <w:rFonts w:ascii="Times New Roman" w:hAnsi="Times New Roman"/>
        </w:rPr>
        <w:t xml:space="preserve">must assure </w:t>
      </w:r>
      <w:r w:rsidR="00706BCB">
        <w:rPr>
          <w:rFonts w:ascii="Times New Roman" w:hAnsi="Times New Roman"/>
        </w:rPr>
        <w:t xml:space="preserve">that </w:t>
      </w:r>
      <w:r w:rsidRPr="00113362">
        <w:rPr>
          <w:rFonts w:ascii="Times New Roman" w:hAnsi="Times New Roman"/>
        </w:rPr>
        <w:t>the recruitment impediments</w:t>
      </w:r>
      <w:r w:rsidR="00706BCB">
        <w:rPr>
          <w:rFonts w:ascii="Times New Roman" w:hAnsi="Times New Roman"/>
        </w:rPr>
        <w:t>,</w:t>
      </w:r>
      <w:r w:rsidRPr="00113362">
        <w:rPr>
          <w:rFonts w:ascii="Times New Roman" w:hAnsi="Times New Roman"/>
        </w:rPr>
        <w:t xml:space="preserve"> </w:t>
      </w:r>
      <w:r w:rsidR="00113362" w:rsidRPr="00113362">
        <w:rPr>
          <w:rFonts w:ascii="Times New Roman" w:hAnsi="Times New Roman"/>
        </w:rPr>
        <w:t xml:space="preserve">strategic corrective actions </w:t>
      </w:r>
      <w:r w:rsidR="00706BCB">
        <w:rPr>
          <w:rFonts w:ascii="Times New Roman" w:hAnsi="Times New Roman"/>
        </w:rPr>
        <w:t xml:space="preserve">as well as favorable factors </w:t>
      </w:r>
      <w:r w:rsidRPr="00113362">
        <w:rPr>
          <w:rFonts w:ascii="Times New Roman" w:hAnsi="Times New Roman"/>
        </w:rPr>
        <w:t xml:space="preserve">are well documented via </w:t>
      </w:r>
      <w:hyperlink r:id="rId19" w:history="1">
        <w:r w:rsidR="00113362" w:rsidRPr="00C965B7">
          <w:rPr>
            <w:rStyle w:val="Hyperlink"/>
            <w:rFonts w:ascii="Times New Roman" w:hAnsi="Times New Roman"/>
          </w:rPr>
          <w:t>AQuIP OARS</w:t>
        </w:r>
      </w:hyperlink>
      <w:r w:rsidR="00113362" w:rsidRPr="00113362">
        <w:rPr>
          <w:rFonts w:ascii="Times New Roman" w:hAnsi="Times New Roman"/>
        </w:rPr>
        <w:t xml:space="preserve"> site and protocol-level Recruitment J</w:t>
      </w:r>
      <w:r w:rsidRPr="00113362">
        <w:rPr>
          <w:rFonts w:ascii="Times New Roman" w:hAnsi="Times New Roman"/>
        </w:rPr>
        <w:t xml:space="preserve">ournal </w:t>
      </w:r>
      <w:r w:rsidR="00113362" w:rsidRPr="00113362">
        <w:rPr>
          <w:rFonts w:ascii="Times New Roman" w:hAnsi="Times New Roman"/>
        </w:rPr>
        <w:t xml:space="preserve">Event </w:t>
      </w:r>
      <w:r w:rsidRPr="00113362">
        <w:rPr>
          <w:rFonts w:ascii="Times New Roman" w:hAnsi="Times New Roman"/>
        </w:rPr>
        <w:t xml:space="preserve">entries.  </w:t>
      </w:r>
    </w:p>
    <w:p w14:paraId="77A29F12" w14:textId="77777777" w:rsidR="00E909BC" w:rsidRPr="00113362" w:rsidRDefault="00113362" w:rsidP="00113362">
      <w:pPr>
        <w:pStyle w:val="ListParagraph"/>
        <w:numPr>
          <w:ilvl w:val="0"/>
          <w:numId w:val="35"/>
        </w:numPr>
        <w:rPr>
          <w:rFonts w:ascii="Times New Roman" w:hAnsi="Times New Roman"/>
        </w:rPr>
      </w:pPr>
      <w:r w:rsidRPr="00113362">
        <w:rPr>
          <w:rFonts w:ascii="Times New Roman" w:hAnsi="Times New Roman"/>
        </w:rPr>
        <w:t>DCP may require additional recruitment barrier analysis and a corrective action plan for</w:t>
      </w:r>
      <w:r w:rsidR="00E909BC" w:rsidRPr="00113362">
        <w:rPr>
          <w:rFonts w:ascii="Times New Roman" w:hAnsi="Times New Roman"/>
        </w:rPr>
        <w:t xml:space="preserve"> review by the DCP Medical/Scientific Monitor and Nurse Consultant and approval by the DCP leadership.</w:t>
      </w:r>
      <w:r w:rsidRPr="00113362">
        <w:rPr>
          <w:rFonts w:ascii="Times New Roman" w:hAnsi="Times New Roman"/>
        </w:rPr>
        <w:t xml:space="preserve">  </w:t>
      </w:r>
      <w:r w:rsidRPr="008311EB">
        <w:rPr>
          <w:rFonts w:ascii="Times New Roman" w:hAnsi="Times New Roman"/>
        </w:rPr>
        <w:t xml:space="preserve">Depending on the applicable </w:t>
      </w:r>
      <w:r>
        <w:rPr>
          <w:rFonts w:ascii="Times New Roman" w:hAnsi="Times New Roman"/>
        </w:rPr>
        <w:t xml:space="preserve">performance </w:t>
      </w:r>
      <w:r w:rsidRPr="008311EB">
        <w:rPr>
          <w:rFonts w:ascii="Times New Roman" w:hAnsi="Times New Roman"/>
        </w:rPr>
        <w:t>zone</w:t>
      </w:r>
      <w:r>
        <w:rPr>
          <w:rFonts w:ascii="Times New Roman" w:hAnsi="Times New Roman"/>
        </w:rPr>
        <w:t xml:space="preserve"> status</w:t>
      </w:r>
      <w:r w:rsidRPr="008311EB">
        <w:rPr>
          <w:rFonts w:ascii="Times New Roman" w:hAnsi="Times New Roman"/>
        </w:rPr>
        <w:t>, interventions for improvement will be devised and/or study design modifications or discontinuation will be considered.</w:t>
      </w:r>
      <w:r w:rsidRPr="00113362">
        <w:rPr>
          <w:rFonts w:ascii="Times New Roman" w:hAnsi="Times New Roman"/>
        </w:rPr>
        <w:t xml:space="preserve"> </w:t>
      </w:r>
    </w:p>
    <w:p w14:paraId="34BD63AF" w14:textId="77777777" w:rsidR="0082079E" w:rsidRPr="00A93F72" w:rsidRDefault="00B70F1A" w:rsidP="00CF3FB9">
      <w:pPr>
        <w:pStyle w:val="Footer"/>
        <w:tabs>
          <w:tab w:val="left" w:pos="0"/>
          <w:tab w:val="left" w:pos="10440"/>
          <w:tab w:val="left" w:pos="11520"/>
        </w:tabs>
        <w:jc w:val="center"/>
      </w:pPr>
      <w:r w:rsidRPr="00B70F1A">
        <w:rPr>
          <w:b/>
        </w:rPr>
        <w:t>Please send questions and comments to the DCP Help Desk at:</w:t>
      </w:r>
      <w:r w:rsidR="00DB737A">
        <w:rPr>
          <w:b/>
        </w:rPr>
        <w:br/>
      </w:r>
      <w:r w:rsidRPr="00B70F1A">
        <w:rPr>
          <w:b/>
        </w:rPr>
        <w:t xml:space="preserve">1-844-901-4357 or </w:t>
      </w:r>
      <w:hyperlink r:id="rId20" w:history="1">
        <w:r w:rsidRPr="00B70F1A">
          <w:rPr>
            <w:rStyle w:val="Hyperlink"/>
            <w:b/>
          </w:rPr>
          <w:t>dcphelpdesk@dcpais.com</w:t>
        </w:r>
      </w:hyperlink>
    </w:p>
    <w:sectPr w:rsidR="0082079E" w:rsidRPr="00A93F72" w:rsidSect="002F344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2457" w14:textId="77777777" w:rsidR="00326FC0" w:rsidRDefault="00326FC0">
      <w:r>
        <w:separator/>
      </w:r>
    </w:p>
  </w:endnote>
  <w:endnote w:type="continuationSeparator" w:id="0">
    <w:p w14:paraId="2E033E83" w14:textId="77777777" w:rsidR="00326FC0" w:rsidRDefault="0032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C86F" w14:textId="77777777" w:rsidR="00B949EA" w:rsidRDefault="00B9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885B" w14:textId="77777777" w:rsidR="00C6306D" w:rsidRDefault="00765EB7" w:rsidP="00716ADA">
    <w:pPr>
      <w:pStyle w:val="Footer"/>
      <w:tabs>
        <w:tab w:val="clear" w:pos="4320"/>
        <w:tab w:val="clear" w:pos="8640"/>
      </w:tabs>
      <w:spacing w:line="240" w:lineRule="auto"/>
      <w:rPr>
        <w:sz w:val="20"/>
      </w:rPr>
    </w:pPr>
    <w:r w:rsidRPr="00765EB7">
      <w:rPr>
        <w:sz w:val="20"/>
      </w:rPr>
      <w:t xml:space="preserve">SOP 6:  Participant Recruitment, Retention and Adherence </w:t>
    </w:r>
  </w:p>
  <w:p w14:paraId="2052C50E" w14:textId="12C677D3" w:rsidR="002A784A" w:rsidRPr="002A784A" w:rsidRDefault="006A62E8" w:rsidP="00716ADA">
    <w:pPr>
      <w:pStyle w:val="Footer"/>
      <w:tabs>
        <w:tab w:val="clear" w:pos="4320"/>
        <w:tab w:val="clear" w:pos="8640"/>
      </w:tabs>
      <w:spacing w:line="240" w:lineRule="auto"/>
      <w:rPr>
        <w:sz w:val="20"/>
      </w:rPr>
    </w:pPr>
    <w:r w:rsidRPr="006A62E8">
      <w:rPr>
        <w:sz w:val="20"/>
      </w:rPr>
      <w:t xml:space="preserve">Version </w:t>
    </w:r>
    <w:r w:rsidR="002A784A" w:rsidRPr="006A62E8">
      <w:rPr>
        <w:sz w:val="20"/>
      </w:rPr>
      <w:t>Date</w:t>
    </w:r>
    <w:r w:rsidRPr="006A62E8">
      <w:rPr>
        <w:sz w:val="20"/>
      </w:rPr>
      <w:t xml:space="preserve">: </w:t>
    </w:r>
    <w:r w:rsidR="00C6306D">
      <w:rPr>
        <w:sz w:val="20"/>
      </w:rPr>
      <w:t>July 21</w:t>
    </w:r>
    <w:r w:rsidR="003B19D8">
      <w:rPr>
        <w:sz w:val="20"/>
      </w:rPr>
      <w:t>, 2017</w:t>
    </w:r>
    <w:r w:rsidR="002A784A" w:rsidRPr="006A62E8">
      <w:rPr>
        <w:sz w:val="20"/>
      </w:rPr>
      <w:ptab w:relativeTo="margin" w:alignment="center" w:leader="none"/>
    </w:r>
    <w:r w:rsidR="002A784A" w:rsidRPr="006A62E8">
      <w:rPr>
        <w:sz w:val="20"/>
      </w:rPr>
      <w:ptab w:relativeTo="margin" w:alignment="right" w:leader="none"/>
    </w:r>
    <w:r w:rsidR="002A784A" w:rsidRPr="006A62E8">
      <w:rPr>
        <w:sz w:val="20"/>
      </w:rPr>
      <w:t xml:space="preserve">Page </w:t>
    </w:r>
    <w:r w:rsidR="002A784A" w:rsidRPr="006A62E8">
      <w:rPr>
        <w:b/>
        <w:bCs/>
        <w:sz w:val="20"/>
      </w:rPr>
      <w:fldChar w:fldCharType="begin"/>
    </w:r>
    <w:r w:rsidR="002A784A" w:rsidRPr="006A62E8">
      <w:rPr>
        <w:b/>
        <w:bCs/>
        <w:sz w:val="20"/>
      </w:rPr>
      <w:instrText xml:space="preserve"> PAGE  \* Arabic  \* MERGEFORMAT </w:instrText>
    </w:r>
    <w:r w:rsidR="002A784A" w:rsidRPr="006A62E8">
      <w:rPr>
        <w:b/>
        <w:bCs/>
        <w:sz w:val="20"/>
      </w:rPr>
      <w:fldChar w:fldCharType="separate"/>
    </w:r>
    <w:r w:rsidR="00F14B7C">
      <w:rPr>
        <w:b/>
        <w:bCs/>
        <w:noProof/>
        <w:sz w:val="20"/>
      </w:rPr>
      <w:t>4</w:t>
    </w:r>
    <w:r w:rsidR="002A784A" w:rsidRPr="006A62E8">
      <w:rPr>
        <w:b/>
        <w:bCs/>
        <w:sz w:val="20"/>
      </w:rPr>
      <w:fldChar w:fldCharType="end"/>
    </w:r>
    <w:r w:rsidR="002A784A" w:rsidRPr="006A62E8">
      <w:rPr>
        <w:sz w:val="20"/>
      </w:rPr>
      <w:t xml:space="preserve"> of </w:t>
    </w:r>
    <w:r w:rsidR="002A784A" w:rsidRPr="006A62E8">
      <w:rPr>
        <w:b/>
        <w:bCs/>
        <w:sz w:val="20"/>
      </w:rPr>
      <w:fldChar w:fldCharType="begin"/>
    </w:r>
    <w:r w:rsidR="002A784A" w:rsidRPr="006A62E8">
      <w:rPr>
        <w:b/>
        <w:bCs/>
        <w:sz w:val="20"/>
      </w:rPr>
      <w:instrText xml:space="preserve"> NUMPAGES  \* Arabic  \* MERGEFORMAT </w:instrText>
    </w:r>
    <w:r w:rsidR="002A784A" w:rsidRPr="006A62E8">
      <w:rPr>
        <w:b/>
        <w:bCs/>
        <w:sz w:val="20"/>
      </w:rPr>
      <w:fldChar w:fldCharType="separate"/>
    </w:r>
    <w:r w:rsidR="00F14B7C">
      <w:rPr>
        <w:b/>
        <w:bCs/>
        <w:noProof/>
        <w:sz w:val="20"/>
      </w:rPr>
      <w:t>4</w:t>
    </w:r>
    <w:r w:rsidR="002A784A" w:rsidRPr="006A62E8">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47EE" w14:textId="77777777" w:rsidR="002A784A" w:rsidRPr="00E50EE9" w:rsidRDefault="002A784A" w:rsidP="00E50EE9">
    <w:pPr>
      <w:rPr>
        <w:sz w:val="16"/>
        <w:szCs w:val="16"/>
      </w:rPr>
    </w:pPr>
    <w:r w:rsidRPr="00E50EE9">
      <w:rPr>
        <w:sz w:val="16"/>
        <w:szCs w:val="16"/>
      </w:rPr>
      <w:t>DCP SOP Number: 21</w:t>
    </w:r>
  </w:p>
  <w:p w14:paraId="32803DEB" w14:textId="77777777" w:rsidR="002A784A" w:rsidRPr="00E50EE9" w:rsidRDefault="002A784A" w:rsidP="00E50EE9">
    <w:pPr>
      <w:ind w:left="540" w:hanging="540"/>
      <w:rPr>
        <w:color w:val="FF0000"/>
        <w:sz w:val="16"/>
        <w:szCs w:val="16"/>
      </w:rPr>
    </w:pPr>
    <w:r w:rsidRPr="00E50EE9">
      <w:rPr>
        <w:sz w:val="16"/>
        <w:szCs w:val="16"/>
      </w:rPr>
      <w:t xml:space="preserve">Title: DCP SOP Instructions </w:t>
    </w:r>
    <w:r w:rsidRPr="00E50EE9">
      <w:rPr>
        <w:b/>
        <w:sz w:val="16"/>
        <w:szCs w:val="16"/>
      </w:rPr>
      <w:t xml:space="preserve">(Intended for CLO and </w:t>
    </w:r>
    <w:smartTag w:uri="urn:schemas-microsoft-com:office:smarttags" w:element="place">
      <w:r w:rsidRPr="00E50EE9">
        <w:rPr>
          <w:b/>
          <w:sz w:val="16"/>
          <w:szCs w:val="16"/>
        </w:rPr>
        <w:t>PO</w:t>
      </w:r>
    </w:smartTag>
    <w:r w:rsidRPr="00E50EE9">
      <w:rPr>
        <w:b/>
        <w:sz w:val="16"/>
        <w:szCs w:val="16"/>
      </w:rPr>
      <w:t>)</w:t>
    </w:r>
  </w:p>
  <w:p w14:paraId="7CD42CA5" w14:textId="77777777" w:rsidR="002A784A" w:rsidRDefault="002A784A"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2</w:t>
    </w:r>
    <w:r>
      <w:rPr>
        <w:rStyle w:val="PageNumber"/>
        <w:snapToGrid w:val="0"/>
        <w:sz w:val="16"/>
      </w:rPr>
      <w:fldChar w:fldCharType="end"/>
    </w:r>
  </w:p>
  <w:p w14:paraId="72C1B2B2" w14:textId="77777777" w:rsidR="002A784A" w:rsidRDefault="002A784A">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D1FA" w14:textId="77777777" w:rsidR="00326FC0" w:rsidRDefault="00326FC0">
      <w:r>
        <w:separator/>
      </w:r>
    </w:p>
  </w:footnote>
  <w:footnote w:type="continuationSeparator" w:id="0">
    <w:p w14:paraId="019A4F4B" w14:textId="77777777" w:rsidR="00326FC0" w:rsidRDefault="0032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FCF2" w14:textId="77777777" w:rsidR="00B949EA" w:rsidRDefault="00B9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A318" w14:textId="77777777" w:rsidR="002A784A" w:rsidRDefault="002A784A" w:rsidP="00DB737A">
    <w:pPr>
      <w:pStyle w:val="Heading1"/>
      <w:spacing w:after="0"/>
    </w:pPr>
  </w:p>
  <w:p w14:paraId="28ABC8F4" w14:textId="77777777" w:rsidR="002A784A" w:rsidRDefault="002A784A" w:rsidP="00DB737A">
    <w:pPr>
      <w:pStyle w:val="Heading1"/>
      <w:pBdr>
        <w:bottom w:val="single" w:sz="12" w:space="1" w:color="auto"/>
      </w:pBdr>
      <w:spacing w:after="0"/>
      <w:rPr>
        <w:szCs w:val="16"/>
      </w:rPr>
    </w:pPr>
    <w:r w:rsidRPr="00761F94">
      <w:t xml:space="preserve">DCP CONSORTIA </w:t>
    </w:r>
    <w:r>
      <w:t xml:space="preserve">2012 </w:t>
    </w:r>
    <w:r w:rsidRPr="00761F94">
      <w:t>STANDARD OPERATING PROCEDURES</w:t>
    </w:r>
  </w:p>
  <w:p w14:paraId="61490E6F" w14:textId="77777777" w:rsidR="002A784A" w:rsidRPr="003E5F78" w:rsidRDefault="002A784A" w:rsidP="00DB737A">
    <w:pPr>
      <w:pStyle w:val="P1-StandPara"/>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5141" w14:textId="77777777" w:rsidR="00B949EA" w:rsidRDefault="00B9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C4E"/>
    <w:multiLevelType w:val="hybridMultilevel"/>
    <w:tmpl w:val="53E6FB5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7656CC8"/>
    <w:multiLevelType w:val="hybridMultilevel"/>
    <w:tmpl w:val="26B8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41B"/>
    <w:multiLevelType w:val="hybridMultilevel"/>
    <w:tmpl w:val="6A6C14B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AB8669F"/>
    <w:multiLevelType w:val="hybridMultilevel"/>
    <w:tmpl w:val="26B8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41665"/>
    <w:multiLevelType w:val="hybridMultilevel"/>
    <w:tmpl w:val="2EA8520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A222FCF"/>
    <w:multiLevelType w:val="hybridMultilevel"/>
    <w:tmpl w:val="D8C8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8958A1"/>
    <w:multiLevelType w:val="hybridMultilevel"/>
    <w:tmpl w:val="26B8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B2267E"/>
    <w:multiLevelType w:val="hybridMultilevel"/>
    <w:tmpl w:val="26B8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274F4"/>
    <w:multiLevelType w:val="hybridMultilevel"/>
    <w:tmpl w:val="D8C8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5" w15:restartNumberingAfterBreak="0">
    <w:nsid w:val="32A77F2E"/>
    <w:multiLevelType w:val="hybridMultilevel"/>
    <w:tmpl w:val="DC986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F5E2F"/>
    <w:multiLevelType w:val="hybridMultilevel"/>
    <w:tmpl w:val="4852C4C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642B78"/>
    <w:multiLevelType w:val="hybridMultilevel"/>
    <w:tmpl w:val="26B8D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47776B"/>
    <w:multiLevelType w:val="hybridMultilevel"/>
    <w:tmpl w:val="42C034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97B9E"/>
    <w:multiLevelType w:val="hybridMultilevel"/>
    <w:tmpl w:val="D8C8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DA616AE"/>
    <w:multiLevelType w:val="hybridMultilevel"/>
    <w:tmpl w:val="4852C4C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27"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7382B66"/>
    <w:multiLevelType w:val="hybridMultilevel"/>
    <w:tmpl w:val="D8C8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A1467"/>
    <w:multiLevelType w:val="hybridMultilevel"/>
    <w:tmpl w:val="6CF0D000"/>
    <w:lvl w:ilvl="0" w:tplc="05782B1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0C5309"/>
    <w:multiLevelType w:val="hybridMultilevel"/>
    <w:tmpl w:val="6CF0D000"/>
    <w:lvl w:ilvl="0" w:tplc="05782B1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E0E29"/>
    <w:multiLevelType w:val="hybridMultilevel"/>
    <w:tmpl w:val="0B0E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5"/>
  </w:num>
  <w:num w:numId="4">
    <w:abstractNumId w:val="24"/>
  </w:num>
  <w:num w:numId="5">
    <w:abstractNumId w:val="5"/>
  </w:num>
  <w:num w:numId="6">
    <w:abstractNumId w:val="22"/>
  </w:num>
  <w:num w:numId="7">
    <w:abstractNumId w:val="27"/>
  </w:num>
  <w:num w:numId="8">
    <w:abstractNumId w:val="7"/>
  </w:num>
  <w:num w:numId="9">
    <w:abstractNumId w:val="11"/>
  </w:num>
  <w:num w:numId="10">
    <w:abstractNumId w:val="33"/>
  </w:num>
  <w:num w:numId="11">
    <w:abstractNumId w:val="17"/>
  </w:num>
  <w:num w:numId="12">
    <w:abstractNumId w:val="9"/>
  </w:num>
  <w:num w:numId="13">
    <w:abstractNumId w:val="19"/>
  </w:num>
  <w:num w:numId="14">
    <w:abstractNumId w:val="30"/>
  </w:num>
  <w:num w:numId="15">
    <w:abstractNumId w:val="29"/>
  </w:num>
  <w:num w:numId="16">
    <w:abstractNumId w:val="10"/>
  </w:num>
  <w:num w:numId="17">
    <w:abstractNumId w:val="28"/>
  </w:num>
  <w:num w:numId="18">
    <w:abstractNumId w:val="16"/>
  </w:num>
  <w:num w:numId="19">
    <w:abstractNumId w:val="20"/>
  </w:num>
  <w:num w:numId="20">
    <w:abstractNumId w:val="21"/>
  </w:num>
  <w:num w:numId="21">
    <w:abstractNumId w:val="23"/>
  </w:num>
  <w:num w:numId="22">
    <w:abstractNumId w:val="6"/>
  </w:num>
  <w:num w:numId="23">
    <w:abstractNumId w:val="32"/>
  </w:num>
  <w:num w:numId="24">
    <w:abstractNumId w:val="34"/>
  </w:num>
  <w:num w:numId="25">
    <w:abstractNumId w:val="13"/>
  </w:num>
  <w:num w:numId="26">
    <w:abstractNumId w:val="35"/>
  </w:num>
  <w:num w:numId="27">
    <w:abstractNumId w:val="15"/>
  </w:num>
  <w:num w:numId="28">
    <w:abstractNumId w:val="31"/>
  </w:num>
  <w:num w:numId="29">
    <w:abstractNumId w:val="18"/>
  </w:num>
  <w:num w:numId="30">
    <w:abstractNumId w:val="5"/>
  </w:num>
  <w:num w:numId="31">
    <w:abstractNumId w:val="5"/>
  </w:num>
  <w:num w:numId="32">
    <w:abstractNumId w:val="12"/>
  </w:num>
  <w:num w:numId="33">
    <w:abstractNumId w:val="1"/>
  </w:num>
  <w:num w:numId="34">
    <w:abstractNumId w:val="8"/>
  </w:num>
  <w:num w:numId="35">
    <w:abstractNumId w:val="3"/>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03C70"/>
    <w:rsid w:val="00011423"/>
    <w:rsid w:val="000176C0"/>
    <w:rsid w:val="00017E02"/>
    <w:rsid w:val="00023635"/>
    <w:rsid w:val="00023CD0"/>
    <w:rsid w:val="000249BC"/>
    <w:rsid w:val="0003133F"/>
    <w:rsid w:val="00035E8F"/>
    <w:rsid w:val="00036604"/>
    <w:rsid w:val="00041740"/>
    <w:rsid w:val="00041CB8"/>
    <w:rsid w:val="00043AA7"/>
    <w:rsid w:val="00045BCF"/>
    <w:rsid w:val="0004635B"/>
    <w:rsid w:val="000510A8"/>
    <w:rsid w:val="00051B2A"/>
    <w:rsid w:val="00051D4D"/>
    <w:rsid w:val="000546C1"/>
    <w:rsid w:val="00061D51"/>
    <w:rsid w:val="000728C4"/>
    <w:rsid w:val="00073C9C"/>
    <w:rsid w:val="00081EA6"/>
    <w:rsid w:val="0008593A"/>
    <w:rsid w:val="000879D4"/>
    <w:rsid w:val="00090CA2"/>
    <w:rsid w:val="000A354A"/>
    <w:rsid w:val="000A7956"/>
    <w:rsid w:val="000A7983"/>
    <w:rsid w:val="000A7F5D"/>
    <w:rsid w:val="000B248B"/>
    <w:rsid w:val="000C51E5"/>
    <w:rsid w:val="000C5220"/>
    <w:rsid w:val="000E09F5"/>
    <w:rsid w:val="000E1DE0"/>
    <w:rsid w:val="000E4542"/>
    <w:rsid w:val="000E4C0E"/>
    <w:rsid w:val="000F385D"/>
    <w:rsid w:val="000F4AB7"/>
    <w:rsid w:val="000F6D06"/>
    <w:rsid w:val="00100FEE"/>
    <w:rsid w:val="00106514"/>
    <w:rsid w:val="00113362"/>
    <w:rsid w:val="00120AD7"/>
    <w:rsid w:val="00120CF4"/>
    <w:rsid w:val="00121183"/>
    <w:rsid w:val="001219D2"/>
    <w:rsid w:val="0012334B"/>
    <w:rsid w:val="00123E39"/>
    <w:rsid w:val="00136F0A"/>
    <w:rsid w:val="00140293"/>
    <w:rsid w:val="00151C89"/>
    <w:rsid w:val="00165E0B"/>
    <w:rsid w:val="00176489"/>
    <w:rsid w:val="00177477"/>
    <w:rsid w:val="001879E7"/>
    <w:rsid w:val="00191949"/>
    <w:rsid w:val="001921AA"/>
    <w:rsid w:val="001B4496"/>
    <w:rsid w:val="001C0770"/>
    <w:rsid w:val="001C1C5E"/>
    <w:rsid w:val="001C27EB"/>
    <w:rsid w:val="001C3689"/>
    <w:rsid w:val="001C395E"/>
    <w:rsid w:val="001C5671"/>
    <w:rsid w:val="001D382E"/>
    <w:rsid w:val="001D4746"/>
    <w:rsid w:val="001E24E6"/>
    <w:rsid w:val="001E725B"/>
    <w:rsid w:val="001E7A68"/>
    <w:rsid w:val="001F4ED0"/>
    <w:rsid w:val="001F54DD"/>
    <w:rsid w:val="001F793A"/>
    <w:rsid w:val="001F7BE4"/>
    <w:rsid w:val="0020472E"/>
    <w:rsid w:val="00204EAB"/>
    <w:rsid w:val="00205723"/>
    <w:rsid w:val="00205B2F"/>
    <w:rsid w:val="00207FC2"/>
    <w:rsid w:val="0021178C"/>
    <w:rsid w:val="0021403B"/>
    <w:rsid w:val="00217963"/>
    <w:rsid w:val="00224C49"/>
    <w:rsid w:val="002260D0"/>
    <w:rsid w:val="00227EBF"/>
    <w:rsid w:val="00235373"/>
    <w:rsid w:val="002400B4"/>
    <w:rsid w:val="00241B69"/>
    <w:rsid w:val="00247BDE"/>
    <w:rsid w:val="002545F4"/>
    <w:rsid w:val="00257A02"/>
    <w:rsid w:val="00265FC6"/>
    <w:rsid w:val="002663BC"/>
    <w:rsid w:val="0028788C"/>
    <w:rsid w:val="002914EF"/>
    <w:rsid w:val="00292C23"/>
    <w:rsid w:val="002A2B30"/>
    <w:rsid w:val="002A2E17"/>
    <w:rsid w:val="002A31F3"/>
    <w:rsid w:val="002A41DC"/>
    <w:rsid w:val="002A6083"/>
    <w:rsid w:val="002A64B8"/>
    <w:rsid w:val="002A69E4"/>
    <w:rsid w:val="002A6BAE"/>
    <w:rsid w:val="002A7303"/>
    <w:rsid w:val="002A784A"/>
    <w:rsid w:val="002B315F"/>
    <w:rsid w:val="002B661C"/>
    <w:rsid w:val="002B7D7D"/>
    <w:rsid w:val="002E20C7"/>
    <w:rsid w:val="002E2D8A"/>
    <w:rsid w:val="002E3571"/>
    <w:rsid w:val="002E7DC0"/>
    <w:rsid w:val="002F3445"/>
    <w:rsid w:val="002F38AC"/>
    <w:rsid w:val="002F7FBF"/>
    <w:rsid w:val="00301E3A"/>
    <w:rsid w:val="00302217"/>
    <w:rsid w:val="00302E8F"/>
    <w:rsid w:val="00304EF8"/>
    <w:rsid w:val="0031120C"/>
    <w:rsid w:val="00311A4C"/>
    <w:rsid w:val="00326886"/>
    <w:rsid w:val="00326FC0"/>
    <w:rsid w:val="003332EE"/>
    <w:rsid w:val="0033397C"/>
    <w:rsid w:val="00335049"/>
    <w:rsid w:val="0033715A"/>
    <w:rsid w:val="00340249"/>
    <w:rsid w:val="00342F5E"/>
    <w:rsid w:val="00343035"/>
    <w:rsid w:val="00344760"/>
    <w:rsid w:val="003451B0"/>
    <w:rsid w:val="0034572E"/>
    <w:rsid w:val="0035665E"/>
    <w:rsid w:val="00356873"/>
    <w:rsid w:val="0036093D"/>
    <w:rsid w:val="00367C47"/>
    <w:rsid w:val="003726EE"/>
    <w:rsid w:val="00372D15"/>
    <w:rsid w:val="00375C6C"/>
    <w:rsid w:val="00380060"/>
    <w:rsid w:val="00383584"/>
    <w:rsid w:val="00383CCB"/>
    <w:rsid w:val="00383F83"/>
    <w:rsid w:val="00397AA3"/>
    <w:rsid w:val="003B165E"/>
    <w:rsid w:val="003B19D8"/>
    <w:rsid w:val="003B1FB4"/>
    <w:rsid w:val="003B4B53"/>
    <w:rsid w:val="003B500D"/>
    <w:rsid w:val="003B5644"/>
    <w:rsid w:val="003B76A0"/>
    <w:rsid w:val="003C1E13"/>
    <w:rsid w:val="003C610F"/>
    <w:rsid w:val="003C6FF0"/>
    <w:rsid w:val="003D134F"/>
    <w:rsid w:val="003D1CB8"/>
    <w:rsid w:val="003E0B20"/>
    <w:rsid w:val="003E1400"/>
    <w:rsid w:val="003E5C28"/>
    <w:rsid w:val="003E5F78"/>
    <w:rsid w:val="003F03C0"/>
    <w:rsid w:val="003F1B9D"/>
    <w:rsid w:val="0040718F"/>
    <w:rsid w:val="004121A8"/>
    <w:rsid w:val="00412456"/>
    <w:rsid w:val="0042075B"/>
    <w:rsid w:val="004328D1"/>
    <w:rsid w:val="00441A76"/>
    <w:rsid w:val="004432FA"/>
    <w:rsid w:val="00444FAE"/>
    <w:rsid w:val="0044661B"/>
    <w:rsid w:val="00450A04"/>
    <w:rsid w:val="0045397A"/>
    <w:rsid w:val="004546E6"/>
    <w:rsid w:val="0045545A"/>
    <w:rsid w:val="00455A21"/>
    <w:rsid w:val="0045728A"/>
    <w:rsid w:val="004626EF"/>
    <w:rsid w:val="0047138E"/>
    <w:rsid w:val="004716F1"/>
    <w:rsid w:val="00472A05"/>
    <w:rsid w:val="00481ECD"/>
    <w:rsid w:val="004825B2"/>
    <w:rsid w:val="004841D1"/>
    <w:rsid w:val="004855F9"/>
    <w:rsid w:val="00491BC9"/>
    <w:rsid w:val="00494273"/>
    <w:rsid w:val="00497DD5"/>
    <w:rsid w:val="004A4D57"/>
    <w:rsid w:val="004A60FF"/>
    <w:rsid w:val="004A75F3"/>
    <w:rsid w:val="004C01DE"/>
    <w:rsid w:val="004C2E12"/>
    <w:rsid w:val="004C4F96"/>
    <w:rsid w:val="004D1D93"/>
    <w:rsid w:val="004D23EC"/>
    <w:rsid w:val="004D76D6"/>
    <w:rsid w:val="004E1AF8"/>
    <w:rsid w:val="004F3C36"/>
    <w:rsid w:val="0050128F"/>
    <w:rsid w:val="00502F52"/>
    <w:rsid w:val="005121B2"/>
    <w:rsid w:val="005124FD"/>
    <w:rsid w:val="00512670"/>
    <w:rsid w:val="00513B7F"/>
    <w:rsid w:val="005150F3"/>
    <w:rsid w:val="00515C27"/>
    <w:rsid w:val="00522C5C"/>
    <w:rsid w:val="00525350"/>
    <w:rsid w:val="00526181"/>
    <w:rsid w:val="00526BDC"/>
    <w:rsid w:val="00531474"/>
    <w:rsid w:val="00531D22"/>
    <w:rsid w:val="005333C1"/>
    <w:rsid w:val="00533CDA"/>
    <w:rsid w:val="00545D3C"/>
    <w:rsid w:val="0054657F"/>
    <w:rsid w:val="00550411"/>
    <w:rsid w:val="00564D43"/>
    <w:rsid w:val="005672D4"/>
    <w:rsid w:val="00572493"/>
    <w:rsid w:val="005737B5"/>
    <w:rsid w:val="005742D4"/>
    <w:rsid w:val="00575C65"/>
    <w:rsid w:val="0057665B"/>
    <w:rsid w:val="005834B3"/>
    <w:rsid w:val="005842EB"/>
    <w:rsid w:val="00585C0F"/>
    <w:rsid w:val="00594630"/>
    <w:rsid w:val="00595C7C"/>
    <w:rsid w:val="00597B99"/>
    <w:rsid w:val="005A32BF"/>
    <w:rsid w:val="005A395E"/>
    <w:rsid w:val="005A3BB0"/>
    <w:rsid w:val="005A4BB9"/>
    <w:rsid w:val="005A7B7D"/>
    <w:rsid w:val="005B1604"/>
    <w:rsid w:val="005B24A4"/>
    <w:rsid w:val="005B7C0D"/>
    <w:rsid w:val="005C245D"/>
    <w:rsid w:val="005C4EE7"/>
    <w:rsid w:val="005C5D21"/>
    <w:rsid w:val="005C66F4"/>
    <w:rsid w:val="005C720F"/>
    <w:rsid w:val="005D4B8A"/>
    <w:rsid w:val="005D607B"/>
    <w:rsid w:val="005E3DCB"/>
    <w:rsid w:val="005F31DB"/>
    <w:rsid w:val="005F47F2"/>
    <w:rsid w:val="005F681D"/>
    <w:rsid w:val="00606D6E"/>
    <w:rsid w:val="00606E54"/>
    <w:rsid w:val="00612541"/>
    <w:rsid w:val="0061428D"/>
    <w:rsid w:val="00614E40"/>
    <w:rsid w:val="006161A9"/>
    <w:rsid w:val="0061640C"/>
    <w:rsid w:val="00622881"/>
    <w:rsid w:val="0062312D"/>
    <w:rsid w:val="0063164D"/>
    <w:rsid w:val="00631B69"/>
    <w:rsid w:val="00632BC8"/>
    <w:rsid w:val="00636375"/>
    <w:rsid w:val="006455BB"/>
    <w:rsid w:val="006460DB"/>
    <w:rsid w:val="00650D74"/>
    <w:rsid w:val="006515CA"/>
    <w:rsid w:val="00651B24"/>
    <w:rsid w:val="00651ED5"/>
    <w:rsid w:val="00656DB5"/>
    <w:rsid w:val="00663D35"/>
    <w:rsid w:val="006654FB"/>
    <w:rsid w:val="00665571"/>
    <w:rsid w:val="00667008"/>
    <w:rsid w:val="00670F2E"/>
    <w:rsid w:val="00671B67"/>
    <w:rsid w:val="0067228A"/>
    <w:rsid w:val="00673587"/>
    <w:rsid w:val="0068245B"/>
    <w:rsid w:val="00682595"/>
    <w:rsid w:val="006840C9"/>
    <w:rsid w:val="00684325"/>
    <w:rsid w:val="006869F2"/>
    <w:rsid w:val="00686B7A"/>
    <w:rsid w:val="00687167"/>
    <w:rsid w:val="00694CB2"/>
    <w:rsid w:val="00695D23"/>
    <w:rsid w:val="006A17C0"/>
    <w:rsid w:val="006A536E"/>
    <w:rsid w:val="006A568A"/>
    <w:rsid w:val="006A62E8"/>
    <w:rsid w:val="006A72A8"/>
    <w:rsid w:val="006A76EE"/>
    <w:rsid w:val="006B5DD8"/>
    <w:rsid w:val="006C254E"/>
    <w:rsid w:val="006D285C"/>
    <w:rsid w:val="006D6874"/>
    <w:rsid w:val="006F1ED9"/>
    <w:rsid w:val="006F48F8"/>
    <w:rsid w:val="006F7C1E"/>
    <w:rsid w:val="00705396"/>
    <w:rsid w:val="00706BCB"/>
    <w:rsid w:val="0071546D"/>
    <w:rsid w:val="00716ADA"/>
    <w:rsid w:val="00717B39"/>
    <w:rsid w:val="00720532"/>
    <w:rsid w:val="0072301F"/>
    <w:rsid w:val="007248AF"/>
    <w:rsid w:val="00736EE6"/>
    <w:rsid w:val="007375A4"/>
    <w:rsid w:val="00740F37"/>
    <w:rsid w:val="00745D5F"/>
    <w:rsid w:val="007504B9"/>
    <w:rsid w:val="007506BE"/>
    <w:rsid w:val="0075308A"/>
    <w:rsid w:val="00753A34"/>
    <w:rsid w:val="00761F94"/>
    <w:rsid w:val="00765116"/>
    <w:rsid w:val="00765EB7"/>
    <w:rsid w:val="00767F85"/>
    <w:rsid w:val="00771D1E"/>
    <w:rsid w:val="007732B2"/>
    <w:rsid w:val="007754A3"/>
    <w:rsid w:val="00794051"/>
    <w:rsid w:val="00795C6E"/>
    <w:rsid w:val="00796702"/>
    <w:rsid w:val="007A2593"/>
    <w:rsid w:val="007B5C0E"/>
    <w:rsid w:val="007D2AA9"/>
    <w:rsid w:val="007D2D92"/>
    <w:rsid w:val="007D3A99"/>
    <w:rsid w:val="007D4CB7"/>
    <w:rsid w:val="007E0DB6"/>
    <w:rsid w:val="0080102B"/>
    <w:rsid w:val="0081486C"/>
    <w:rsid w:val="008163D6"/>
    <w:rsid w:val="00817C70"/>
    <w:rsid w:val="0082079E"/>
    <w:rsid w:val="008311EB"/>
    <w:rsid w:val="00835CB5"/>
    <w:rsid w:val="00835DAA"/>
    <w:rsid w:val="00841425"/>
    <w:rsid w:val="00844618"/>
    <w:rsid w:val="00860ACF"/>
    <w:rsid w:val="00860E16"/>
    <w:rsid w:val="00861AF7"/>
    <w:rsid w:val="0086242F"/>
    <w:rsid w:val="00866BC4"/>
    <w:rsid w:val="008769BC"/>
    <w:rsid w:val="0088189F"/>
    <w:rsid w:val="00881F08"/>
    <w:rsid w:val="008824DF"/>
    <w:rsid w:val="00884C48"/>
    <w:rsid w:val="00893119"/>
    <w:rsid w:val="008962AA"/>
    <w:rsid w:val="00896E36"/>
    <w:rsid w:val="00897850"/>
    <w:rsid w:val="008A12BB"/>
    <w:rsid w:val="008B220F"/>
    <w:rsid w:val="008B2C8F"/>
    <w:rsid w:val="008B37F9"/>
    <w:rsid w:val="008B4A45"/>
    <w:rsid w:val="008B5DD7"/>
    <w:rsid w:val="008B7E50"/>
    <w:rsid w:val="008C2EFA"/>
    <w:rsid w:val="008C3A54"/>
    <w:rsid w:val="008C3E20"/>
    <w:rsid w:val="008C3EF9"/>
    <w:rsid w:val="008C756F"/>
    <w:rsid w:val="008E1D4F"/>
    <w:rsid w:val="008E55AA"/>
    <w:rsid w:val="008E7DF0"/>
    <w:rsid w:val="008F08B8"/>
    <w:rsid w:val="008F37D9"/>
    <w:rsid w:val="008F5A67"/>
    <w:rsid w:val="009014F7"/>
    <w:rsid w:val="009027BE"/>
    <w:rsid w:val="0090420A"/>
    <w:rsid w:val="00912F60"/>
    <w:rsid w:val="00915342"/>
    <w:rsid w:val="00917D7A"/>
    <w:rsid w:val="009242C7"/>
    <w:rsid w:val="00925B72"/>
    <w:rsid w:val="00935942"/>
    <w:rsid w:val="00936625"/>
    <w:rsid w:val="009413BA"/>
    <w:rsid w:val="0094704F"/>
    <w:rsid w:val="00950053"/>
    <w:rsid w:val="00954B9B"/>
    <w:rsid w:val="0096304F"/>
    <w:rsid w:val="00964EE4"/>
    <w:rsid w:val="00966A91"/>
    <w:rsid w:val="009718CA"/>
    <w:rsid w:val="00973BB0"/>
    <w:rsid w:val="0098261D"/>
    <w:rsid w:val="00983663"/>
    <w:rsid w:val="00985D08"/>
    <w:rsid w:val="00990C58"/>
    <w:rsid w:val="009944BA"/>
    <w:rsid w:val="00994552"/>
    <w:rsid w:val="00995601"/>
    <w:rsid w:val="00996898"/>
    <w:rsid w:val="009A4178"/>
    <w:rsid w:val="009A7150"/>
    <w:rsid w:val="009B2F51"/>
    <w:rsid w:val="009B2F70"/>
    <w:rsid w:val="009B49AA"/>
    <w:rsid w:val="009C713C"/>
    <w:rsid w:val="009D72CC"/>
    <w:rsid w:val="009E0CD7"/>
    <w:rsid w:val="009E3F3E"/>
    <w:rsid w:val="009E49F7"/>
    <w:rsid w:val="009E6467"/>
    <w:rsid w:val="009F257C"/>
    <w:rsid w:val="009F7286"/>
    <w:rsid w:val="00A01DCD"/>
    <w:rsid w:val="00A0312B"/>
    <w:rsid w:val="00A14B3A"/>
    <w:rsid w:val="00A22089"/>
    <w:rsid w:val="00A22A9F"/>
    <w:rsid w:val="00A24E0E"/>
    <w:rsid w:val="00A3016F"/>
    <w:rsid w:val="00A41C99"/>
    <w:rsid w:val="00A422F6"/>
    <w:rsid w:val="00A451F5"/>
    <w:rsid w:val="00A535ED"/>
    <w:rsid w:val="00A54FDF"/>
    <w:rsid w:val="00A55F47"/>
    <w:rsid w:val="00A64B37"/>
    <w:rsid w:val="00A650B3"/>
    <w:rsid w:val="00A6665D"/>
    <w:rsid w:val="00A66C3D"/>
    <w:rsid w:val="00A80ACF"/>
    <w:rsid w:val="00A8560F"/>
    <w:rsid w:val="00A8641F"/>
    <w:rsid w:val="00A93F72"/>
    <w:rsid w:val="00A94E0E"/>
    <w:rsid w:val="00AA022C"/>
    <w:rsid w:val="00AA5B4F"/>
    <w:rsid w:val="00AA5C32"/>
    <w:rsid w:val="00AA72FC"/>
    <w:rsid w:val="00AB7363"/>
    <w:rsid w:val="00AB79F3"/>
    <w:rsid w:val="00AD0996"/>
    <w:rsid w:val="00AD47E8"/>
    <w:rsid w:val="00AD5A40"/>
    <w:rsid w:val="00AD6281"/>
    <w:rsid w:val="00AD71FC"/>
    <w:rsid w:val="00AE1DC9"/>
    <w:rsid w:val="00AE2858"/>
    <w:rsid w:val="00AE3E91"/>
    <w:rsid w:val="00AF0D5F"/>
    <w:rsid w:val="00AF6B9C"/>
    <w:rsid w:val="00B00B5F"/>
    <w:rsid w:val="00B02A15"/>
    <w:rsid w:val="00B03EFD"/>
    <w:rsid w:val="00B04365"/>
    <w:rsid w:val="00B0485E"/>
    <w:rsid w:val="00B10142"/>
    <w:rsid w:val="00B1265E"/>
    <w:rsid w:val="00B15949"/>
    <w:rsid w:val="00B21528"/>
    <w:rsid w:val="00B215D1"/>
    <w:rsid w:val="00B37013"/>
    <w:rsid w:val="00B46046"/>
    <w:rsid w:val="00B70F1A"/>
    <w:rsid w:val="00B73A63"/>
    <w:rsid w:val="00B74198"/>
    <w:rsid w:val="00B74F79"/>
    <w:rsid w:val="00B77FC1"/>
    <w:rsid w:val="00B80C5E"/>
    <w:rsid w:val="00B810DF"/>
    <w:rsid w:val="00B84DE4"/>
    <w:rsid w:val="00B91E9A"/>
    <w:rsid w:val="00B949EA"/>
    <w:rsid w:val="00B950DA"/>
    <w:rsid w:val="00BA0FA4"/>
    <w:rsid w:val="00BA4077"/>
    <w:rsid w:val="00BB06CB"/>
    <w:rsid w:val="00BB0B56"/>
    <w:rsid w:val="00BB150C"/>
    <w:rsid w:val="00BB7507"/>
    <w:rsid w:val="00BC2774"/>
    <w:rsid w:val="00BC4CCE"/>
    <w:rsid w:val="00BD01D1"/>
    <w:rsid w:val="00BD7542"/>
    <w:rsid w:val="00BE0F10"/>
    <w:rsid w:val="00BE13E3"/>
    <w:rsid w:val="00BE5BE1"/>
    <w:rsid w:val="00BF2C46"/>
    <w:rsid w:val="00C12922"/>
    <w:rsid w:val="00C23901"/>
    <w:rsid w:val="00C274AD"/>
    <w:rsid w:val="00C32319"/>
    <w:rsid w:val="00C32593"/>
    <w:rsid w:val="00C37199"/>
    <w:rsid w:val="00C47306"/>
    <w:rsid w:val="00C56740"/>
    <w:rsid w:val="00C574C8"/>
    <w:rsid w:val="00C6306D"/>
    <w:rsid w:val="00C63FA5"/>
    <w:rsid w:val="00C64C31"/>
    <w:rsid w:val="00C747EE"/>
    <w:rsid w:val="00C76E68"/>
    <w:rsid w:val="00C779A3"/>
    <w:rsid w:val="00C841B9"/>
    <w:rsid w:val="00C864CD"/>
    <w:rsid w:val="00C87260"/>
    <w:rsid w:val="00C9277F"/>
    <w:rsid w:val="00C965B7"/>
    <w:rsid w:val="00C97EAB"/>
    <w:rsid w:val="00CA3625"/>
    <w:rsid w:val="00CA7CAE"/>
    <w:rsid w:val="00CB0650"/>
    <w:rsid w:val="00CB22C9"/>
    <w:rsid w:val="00CB4B5C"/>
    <w:rsid w:val="00CB6F41"/>
    <w:rsid w:val="00CC66E0"/>
    <w:rsid w:val="00CC76D5"/>
    <w:rsid w:val="00CD6495"/>
    <w:rsid w:val="00CE2514"/>
    <w:rsid w:val="00CE3321"/>
    <w:rsid w:val="00CE3FF2"/>
    <w:rsid w:val="00CE509A"/>
    <w:rsid w:val="00CE6C89"/>
    <w:rsid w:val="00CE7E57"/>
    <w:rsid w:val="00CF3FB9"/>
    <w:rsid w:val="00CF3FEC"/>
    <w:rsid w:val="00CF4242"/>
    <w:rsid w:val="00CF7637"/>
    <w:rsid w:val="00D04F57"/>
    <w:rsid w:val="00D0659A"/>
    <w:rsid w:val="00D10481"/>
    <w:rsid w:val="00D13F13"/>
    <w:rsid w:val="00D14B4E"/>
    <w:rsid w:val="00D213AC"/>
    <w:rsid w:val="00D22435"/>
    <w:rsid w:val="00D244BB"/>
    <w:rsid w:val="00D42F40"/>
    <w:rsid w:val="00D436F6"/>
    <w:rsid w:val="00D43B33"/>
    <w:rsid w:val="00D52E75"/>
    <w:rsid w:val="00D531DF"/>
    <w:rsid w:val="00D5607F"/>
    <w:rsid w:val="00D7296B"/>
    <w:rsid w:val="00D73189"/>
    <w:rsid w:val="00D777BF"/>
    <w:rsid w:val="00D86B69"/>
    <w:rsid w:val="00D914FD"/>
    <w:rsid w:val="00D9259D"/>
    <w:rsid w:val="00DB0511"/>
    <w:rsid w:val="00DB4AD0"/>
    <w:rsid w:val="00DB6D94"/>
    <w:rsid w:val="00DB737A"/>
    <w:rsid w:val="00DC21A8"/>
    <w:rsid w:val="00DD591E"/>
    <w:rsid w:val="00DD6396"/>
    <w:rsid w:val="00DE041A"/>
    <w:rsid w:val="00DE1254"/>
    <w:rsid w:val="00DE3830"/>
    <w:rsid w:val="00DE4C4C"/>
    <w:rsid w:val="00DE7566"/>
    <w:rsid w:val="00DF14F8"/>
    <w:rsid w:val="00DF1AED"/>
    <w:rsid w:val="00DF4C6F"/>
    <w:rsid w:val="00DF6638"/>
    <w:rsid w:val="00E0537F"/>
    <w:rsid w:val="00E133FF"/>
    <w:rsid w:val="00E204AD"/>
    <w:rsid w:val="00E2660D"/>
    <w:rsid w:val="00E27293"/>
    <w:rsid w:val="00E34C77"/>
    <w:rsid w:val="00E40A14"/>
    <w:rsid w:val="00E43E91"/>
    <w:rsid w:val="00E46599"/>
    <w:rsid w:val="00E4790B"/>
    <w:rsid w:val="00E50EE9"/>
    <w:rsid w:val="00E5166D"/>
    <w:rsid w:val="00E5353F"/>
    <w:rsid w:val="00E55E25"/>
    <w:rsid w:val="00E55FC6"/>
    <w:rsid w:val="00E56F80"/>
    <w:rsid w:val="00E716ED"/>
    <w:rsid w:val="00E72BC8"/>
    <w:rsid w:val="00E75D74"/>
    <w:rsid w:val="00E852CA"/>
    <w:rsid w:val="00E8709E"/>
    <w:rsid w:val="00E909BC"/>
    <w:rsid w:val="00E96CE6"/>
    <w:rsid w:val="00EB0FFB"/>
    <w:rsid w:val="00EB3CBE"/>
    <w:rsid w:val="00EB5F8D"/>
    <w:rsid w:val="00EC2EED"/>
    <w:rsid w:val="00EC4D54"/>
    <w:rsid w:val="00EC5EEF"/>
    <w:rsid w:val="00EC713B"/>
    <w:rsid w:val="00EE179F"/>
    <w:rsid w:val="00EE53FB"/>
    <w:rsid w:val="00EF576F"/>
    <w:rsid w:val="00F02195"/>
    <w:rsid w:val="00F07D32"/>
    <w:rsid w:val="00F14B7C"/>
    <w:rsid w:val="00F15F36"/>
    <w:rsid w:val="00F20976"/>
    <w:rsid w:val="00F20BB4"/>
    <w:rsid w:val="00F20DE5"/>
    <w:rsid w:val="00F214CC"/>
    <w:rsid w:val="00F21DF4"/>
    <w:rsid w:val="00F40690"/>
    <w:rsid w:val="00F40F15"/>
    <w:rsid w:val="00F422B6"/>
    <w:rsid w:val="00F61D15"/>
    <w:rsid w:val="00F62642"/>
    <w:rsid w:val="00F6547B"/>
    <w:rsid w:val="00F66477"/>
    <w:rsid w:val="00F82563"/>
    <w:rsid w:val="00F83BDA"/>
    <w:rsid w:val="00F8454B"/>
    <w:rsid w:val="00F85FDD"/>
    <w:rsid w:val="00F91E48"/>
    <w:rsid w:val="00F92B6C"/>
    <w:rsid w:val="00F94B77"/>
    <w:rsid w:val="00FA3D01"/>
    <w:rsid w:val="00FB5B70"/>
    <w:rsid w:val="00FC053C"/>
    <w:rsid w:val="00FC7DF8"/>
    <w:rsid w:val="00FD0827"/>
    <w:rsid w:val="00FD3F59"/>
    <w:rsid w:val="00FD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1627E323"/>
  <w15:docId w15:val="{6FD8B463-59D2-4064-8E58-A6CE6428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35"/>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outlineLvl w:val="2"/>
    </w:pPr>
    <w:rPr>
      <w:b/>
      <w:szCs w:val="22"/>
      <w:u w:val="single"/>
    </w:rPr>
  </w:style>
  <w:style w:type="paragraph" w:styleId="Heading4">
    <w:name w:val="heading 4"/>
    <w:aliases w:val="H4 Sec.Heading"/>
    <w:basedOn w:val="Normal"/>
    <w:next w:val="P1-StandPara"/>
    <w:link w:val="Heading4Char"/>
    <w:uiPriority w:val="9"/>
    <w:qFormat/>
    <w:rsid w:val="00663D35"/>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663D35"/>
    <w:pPr>
      <w:keepLines/>
      <w:spacing w:before="360" w:line="360" w:lineRule="atLeast"/>
      <w:jc w:val="center"/>
      <w:outlineLvl w:val="4"/>
    </w:pPr>
  </w:style>
  <w:style w:type="paragraph" w:styleId="Heading6">
    <w:name w:val="heading 6"/>
    <w:basedOn w:val="Normal"/>
    <w:next w:val="Normal"/>
    <w:link w:val="Heading6Char"/>
    <w:uiPriority w:val="9"/>
    <w:qFormat/>
    <w:rsid w:val="00663D35"/>
    <w:pPr>
      <w:keepNext/>
      <w:spacing w:before="240"/>
      <w:jc w:val="center"/>
      <w:outlineLvl w:val="5"/>
    </w:pPr>
    <w:rPr>
      <w:b/>
      <w:caps/>
    </w:rPr>
  </w:style>
  <w:style w:type="paragraph" w:styleId="Heading7">
    <w:name w:val="heading 7"/>
    <w:basedOn w:val="Normal"/>
    <w:next w:val="Normal"/>
    <w:link w:val="Heading7Char"/>
    <w:uiPriority w:val="9"/>
    <w:qFormat/>
    <w:rsid w:val="00663D35"/>
    <w:pPr>
      <w:spacing w:before="240" w:after="60"/>
      <w:outlineLvl w:val="6"/>
    </w:pPr>
  </w:style>
  <w:style w:type="paragraph" w:styleId="Heading8">
    <w:name w:val="heading 8"/>
    <w:basedOn w:val="Normal"/>
    <w:next w:val="Normal"/>
    <w:link w:val="Heading8Char"/>
    <w:uiPriority w:val="9"/>
    <w:qFormat/>
    <w:rsid w:val="00663D35"/>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663D35"/>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663D35"/>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663D35"/>
    <w:pPr>
      <w:keepNext/>
      <w:spacing w:after="720" w:line="240" w:lineRule="atLeast"/>
      <w:jc w:val="center"/>
    </w:pPr>
    <w:rPr>
      <w:b/>
      <w:caps/>
      <w:sz w:val="22"/>
    </w:rPr>
  </w:style>
  <w:style w:type="paragraph" w:customStyle="1" w:styleId="C2-CtrSglSp">
    <w:name w:val="C2-Ctr Sgl Sp"/>
    <w:rsid w:val="00663D35"/>
    <w:pPr>
      <w:keepLines/>
      <w:spacing w:line="240" w:lineRule="atLeast"/>
      <w:jc w:val="center"/>
    </w:pPr>
    <w:rPr>
      <w:sz w:val="22"/>
    </w:rPr>
  </w:style>
  <w:style w:type="paragraph" w:customStyle="1" w:styleId="C3-CtrSp12">
    <w:name w:val="C3-Ctr Sp&amp;1/2"/>
    <w:rsid w:val="00663D35"/>
    <w:pPr>
      <w:keepLines/>
      <w:spacing w:line="360" w:lineRule="atLeast"/>
      <w:jc w:val="center"/>
    </w:pPr>
    <w:rPr>
      <w:sz w:val="22"/>
    </w:rPr>
  </w:style>
  <w:style w:type="paragraph" w:customStyle="1" w:styleId="E1-Equation">
    <w:name w:val="E1-Equation"/>
    <w:rsid w:val="00663D35"/>
    <w:pPr>
      <w:tabs>
        <w:tab w:val="center" w:pos="4680"/>
        <w:tab w:val="right" w:pos="9360"/>
      </w:tabs>
      <w:spacing w:line="240" w:lineRule="atLeast"/>
      <w:jc w:val="both"/>
    </w:pPr>
    <w:rPr>
      <w:sz w:val="22"/>
    </w:rPr>
  </w:style>
  <w:style w:type="paragraph" w:customStyle="1" w:styleId="E2-Equation">
    <w:name w:val="E2-Equation"/>
    <w:basedOn w:val="E1-Equation"/>
    <w:rsid w:val="00663D35"/>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663D35"/>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663D35"/>
    <w:pPr>
      <w:tabs>
        <w:tab w:val="left" w:pos="1152"/>
      </w:tabs>
      <w:spacing w:line="360" w:lineRule="atLeast"/>
      <w:jc w:val="both"/>
    </w:pPr>
    <w:rPr>
      <w:sz w:val="22"/>
    </w:rPr>
  </w:style>
  <w:style w:type="paragraph" w:customStyle="1" w:styleId="N0-FlLftBullet">
    <w:name w:val="N0-Fl Lft Bullet"/>
    <w:basedOn w:val="Normal"/>
    <w:rsid w:val="00663D35"/>
    <w:pPr>
      <w:tabs>
        <w:tab w:val="left" w:pos="576"/>
      </w:tabs>
      <w:spacing w:after="240"/>
      <w:ind w:left="576" w:hanging="576"/>
    </w:pPr>
  </w:style>
  <w:style w:type="paragraph" w:customStyle="1" w:styleId="N1-1stBullet">
    <w:name w:val="N1-1st Bullet"/>
    <w:basedOn w:val="Normal"/>
    <w:rsid w:val="00663D35"/>
    <w:pPr>
      <w:tabs>
        <w:tab w:val="left" w:pos="1152"/>
      </w:tabs>
      <w:spacing w:after="240"/>
      <w:ind w:left="1152" w:hanging="576"/>
    </w:pPr>
  </w:style>
  <w:style w:type="paragraph" w:customStyle="1" w:styleId="N2-2ndBullet">
    <w:name w:val="N2-2nd Bullet"/>
    <w:basedOn w:val="Normal"/>
    <w:rsid w:val="00663D35"/>
    <w:pPr>
      <w:numPr>
        <w:numId w:val="1"/>
      </w:numPr>
      <w:tabs>
        <w:tab w:val="left" w:pos="1728"/>
      </w:tabs>
      <w:spacing w:after="240"/>
    </w:pPr>
  </w:style>
  <w:style w:type="paragraph" w:customStyle="1" w:styleId="N3-3rdBullet">
    <w:name w:val="N3-3rd Bullet"/>
    <w:basedOn w:val="Normal"/>
    <w:rsid w:val="00663D35"/>
    <w:pPr>
      <w:tabs>
        <w:tab w:val="left" w:pos="2304"/>
      </w:tabs>
      <w:spacing w:after="240"/>
      <w:ind w:left="2304" w:hanging="576"/>
    </w:pPr>
  </w:style>
  <w:style w:type="paragraph" w:customStyle="1" w:styleId="N4-4thBullet">
    <w:name w:val="N4-4th Bullet"/>
    <w:basedOn w:val="Normal"/>
    <w:rsid w:val="00663D35"/>
    <w:pPr>
      <w:tabs>
        <w:tab w:val="left" w:pos="2880"/>
      </w:tabs>
      <w:spacing w:after="240"/>
      <w:ind w:left="2880" w:hanging="576"/>
    </w:pPr>
  </w:style>
  <w:style w:type="paragraph" w:customStyle="1" w:styleId="N5-5thBullet">
    <w:name w:val="N5-5th Bullet"/>
    <w:basedOn w:val="Normal"/>
    <w:rsid w:val="00663D35"/>
    <w:pPr>
      <w:tabs>
        <w:tab w:val="left" w:pos="3456"/>
      </w:tabs>
      <w:spacing w:after="240"/>
      <w:ind w:left="3456" w:hanging="576"/>
    </w:pPr>
  </w:style>
  <w:style w:type="paragraph" w:customStyle="1" w:styleId="N6-DateInd">
    <w:name w:val="N6-Date Ind."/>
    <w:basedOn w:val="Normal"/>
    <w:rsid w:val="00663D35"/>
    <w:pPr>
      <w:tabs>
        <w:tab w:val="left" w:pos="5400"/>
      </w:tabs>
      <w:ind w:left="5400"/>
    </w:pPr>
  </w:style>
  <w:style w:type="paragraph" w:customStyle="1" w:styleId="N7-3Block">
    <w:name w:val="N7-3&quot; Block"/>
    <w:basedOn w:val="Normal"/>
    <w:rsid w:val="00663D35"/>
    <w:pPr>
      <w:tabs>
        <w:tab w:val="left" w:pos="1152"/>
      </w:tabs>
      <w:ind w:left="1152" w:right="1152"/>
    </w:pPr>
  </w:style>
  <w:style w:type="paragraph" w:customStyle="1" w:styleId="N8-QxQBlock">
    <w:name w:val="N8-QxQ Block"/>
    <w:rsid w:val="00663D35"/>
    <w:pPr>
      <w:tabs>
        <w:tab w:val="left" w:pos="1152"/>
      </w:tabs>
      <w:spacing w:after="360" w:line="360" w:lineRule="atLeast"/>
      <w:ind w:left="1152" w:hanging="1152"/>
      <w:jc w:val="both"/>
    </w:pPr>
    <w:rPr>
      <w:sz w:val="22"/>
    </w:rPr>
  </w:style>
  <w:style w:type="paragraph" w:customStyle="1" w:styleId="P1-StandPara">
    <w:name w:val="P1-Stand Para"/>
    <w:rsid w:val="00663D35"/>
    <w:pPr>
      <w:spacing w:line="360" w:lineRule="atLeast"/>
      <w:ind w:firstLine="1152"/>
      <w:jc w:val="both"/>
    </w:pPr>
    <w:rPr>
      <w:sz w:val="22"/>
    </w:rPr>
  </w:style>
  <w:style w:type="paragraph" w:customStyle="1" w:styleId="Q1-BestFinQ">
    <w:name w:val="Q1-Best/Fin Q"/>
    <w:rsid w:val="00663D35"/>
    <w:pPr>
      <w:tabs>
        <w:tab w:val="left" w:pos="1152"/>
      </w:tabs>
      <w:spacing w:after="360" w:line="240" w:lineRule="atLeast"/>
      <w:ind w:left="1152" w:hanging="1152"/>
      <w:jc w:val="both"/>
    </w:pPr>
    <w:rPr>
      <w:b/>
      <w:sz w:val="22"/>
    </w:rPr>
  </w:style>
  <w:style w:type="paragraph" w:customStyle="1" w:styleId="SH-SglSpHead">
    <w:name w:val="SH-Sgl Sp Head"/>
    <w:rsid w:val="00663D35"/>
    <w:pPr>
      <w:keepNext/>
      <w:tabs>
        <w:tab w:val="left" w:pos="576"/>
      </w:tabs>
      <w:spacing w:line="240" w:lineRule="atLeast"/>
      <w:ind w:left="576" w:hanging="576"/>
    </w:pPr>
    <w:rPr>
      <w:b/>
      <w:sz w:val="22"/>
    </w:rPr>
  </w:style>
  <w:style w:type="paragraph" w:customStyle="1" w:styleId="SL-FlLftSgl">
    <w:name w:val="SL-Fl Lft Sgl"/>
    <w:link w:val="SL-FlLftSglChar"/>
    <w:rsid w:val="00663D35"/>
    <w:pPr>
      <w:spacing w:line="240" w:lineRule="atLeast"/>
      <w:jc w:val="both"/>
    </w:pPr>
    <w:rPr>
      <w:sz w:val="22"/>
    </w:rPr>
  </w:style>
  <w:style w:type="paragraph" w:customStyle="1" w:styleId="SP-SglSpPara">
    <w:name w:val="SP-Sgl Sp Para"/>
    <w:rsid w:val="00663D35"/>
    <w:pPr>
      <w:tabs>
        <w:tab w:val="left" w:pos="576"/>
      </w:tabs>
      <w:spacing w:line="240" w:lineRule="atLeast"/>
      <w:ind w:firstLine="576"/>
      <w:jc w:val="both"/>
    </w:pPr>
    <w:rPr>
      <w:sz w:val="22"/>
    </w:rPr>
  </w:style>
  <w:style w:type="paragraph" w:customStyle="1" w:styleId="T0-ChapPgHd">
    <w:name w:val="T0-Chap/Pg Hd"/>
    <w:rsid w:val="00663D35"/>
    <w:pPr>
      <w:tabs>
        <w:tab w:val="left" w:pos="8640"/>
      </w:tabs>
      <w:spacing w:line="240" w:lineRule="atLeast"/>
      <w:jc w:val="both"/>
    </w:pPr>
    <w:rPr>
      <w:sz w:val="22"/>
      <w:u w:val="words"/>
    </w:rPr>
  </w:style>
  <w:style w:type="paragraph" w:styleId="TOC1">
    <w:name w:val="toc 1"/>
    <w:basedOn w:val="Normal"/>
    <w:autoRedefine/>
    <w:uiPriority w:val="39"/>
    <w:semiHidden/>
    <w:rsid w:val="00663D35"/>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663D35"/>
    <w:pPr>
      <w:tabs>
        <w:tab w:val="left" w:pos="2160"/>
        <w:tab w:val="right" w:leader="dot" w:pos="8208"/>
        <w:tab w:val="left" w:pos="8640"/>
      </w:tabs>
      <w:ind w:left="2160" w:hanging="720"/>
      <w:jc w:val="left"/>
    </w:pPr>
  </w:style>
  <w:style w:type="paragraph" w:styleId="TOC3">
    <w:name w:val="toc 3"/>
    <w:basedOn w:val="Normal"/>
    <w:autoRedefine/>
    <w:uiPriority w:val="39"/>
    <w:semiHidden/>
    <w:rsid w:val="00663D35"/>
    <w:pPr>
      <w:tabs>
        <w:tab w:val="left" w:pos="3024"/>
        <w:tab w:val="right" w:leader="dot" w:pos="8208"/>
        <w:tab w:val="left" w:pos="8640"/>
      </w:tabs>
      <w:ind w:left="3024" w:hanging="864"/>
      <w:jc w:val="left"/>
    </w:pPr>
  </w:style>
  <w:style w:type="paragraph" w:styleId="TOC4">
    <w:name w:val="toc 4"/>
    <w:basedOn w:val="Normal"/>
    <w:autoRedefine/>
    <w:uiPriority w:val="39"/>
    <w:semiHidden/>
    <w:rsid w:val="00663D35"/>
    <w:pPr>
      <w:tabs>
        <w:tab w:val="left" w:pos="3888"/>
        <w:tab w:val="right" w:leader="dot" w:pos="8208"/>
        <w:tab w:val="left" w:pos="8640"/>
      </w:tabs>
      <w:ind w:left="3888" w:hanging="864"/>
      <w:jc w:val="left"/>
    </w:pPr>
  </w:style>
  <w:style w:type="paragraph" w:styleId="TOC5">
    <w:name w:val="toc 5"/>
    <w:basedOn w:val="TOC1"/>
    <w:autoRedefine/>
    <w:uiPriority w:val="39"/>
    <w:semiHidden/>
    <w:rsid w:val="00663D35"/>
    <w:rPr>
      <w:caps w:val="0"/>
    </w:rPr>
  </w:style>
  <w:style w:type="paragraph" w:customStyle="1" w:styleId="TT-TableTitle">
    <w:name w:val="TT-Table Title"/>
    <w:rsid w:val="00663D35"/>
    <w:pPr>
      <w:tabs>
        <w:tab w:val="left" w:pos="1152"/>
      </w:tabs>
      <w:spacing w:line="240" w:lineRule="atLeast"/>
      <w:ind w:left="1152" w:hanging="1152"/>
    </w:pPr>
    <w:rPr>
      <w:sz w:val="22"/>
    </w:rPr>
  </w:style>
  <w:style w:type="paragraph" w:styleId="Footer">
    <w:name w:val="footer"/>
    <w:basedOn w:val="Normal"/>
    <w:link w:val="FooterChar"/>
    <w:uiPriority w:val="99"/>
    <w:rsid w:val="00663D35"/>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663D35"/>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663D35"/>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663D35"/>
    <w:rPr>
      <w:rFonts w:cs="Times New Roman"/>
    </w:rPr>
  </w:style>
  <w:style w:type="paragraph" w:styleId="Title">
    <w:name w:val="Title"/>
    <w:basedOn w:val="Normal"/>
    <w:link w:val="TitleChar"/>
    <w:uiPriority w:val="10"/>
    <w:qFormat/>
    <w:rsid w:val="00663D35"/>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663D35"/>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rsid w:val="00663D35"/>
    <w:rPr>
      <w:color w:val="0000FF"/>
      <w:u w:val="single"/>
    </w:rPr>
  </w:style>
  <w:style w:type="character" w:styleId="CommentReference">
    <w:name w:val="annotation reference"/>
    <w:uiPriority w:val="99"/>
    <w:semiHidden/>
    <w:rsid w:val="00663D35"/>
    <w:rPr>
      <w:sz w:val="16"/>
    </w:rPr>
  </w:style>
  <w:style w:type="paragraph" w:styleId="CommentText">
    <w:name w:val="annotation text"/>
    <w:basedOn w:val="Normal"/>
    <w:link w:val="CommentTextChar"/>
    <w:uiPriority w:val="99"/>
    <w:semiHidden/>
    <w:rsid w:val="00663D35"/>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663D35"/>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663D35"/>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663D35"/>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663D35"/>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ListParagraph">
    <w:name w:val="List Paragraph"/>
    <w:basedOn w:val="Normal"/>
    <w:uiPriority w:val="34"/>
    <w:qFormat/>
    <w:rsid w:val="0082079E"/>
    <w:pPr>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4855F9"/>
    <w:rPr>
      <w:sz w:val="22"/>
    </w:rPr>
  </w:style>
  <w:style w:type="character" w:customStyle="1" w:styleId="UnresolvedMention1">
    <w:name w:val="Unresolved Mention1"/>
    <w:basedOn w:val="DefaultParagraphFont"/>
    <w:uiPriority w:val="99"/>
    <w:semiHidden/>
    <w:unhideWhenUsed/>
    <w:rsid w:val="002A2E17"/>
    <w:rPr>
      <w:color w:val="808080"/>
      <w:shd w:val="clear" w:color="auto" w:fill="E6E6E6"/>
    </w:rPr>
  </w:style>
  <w:style w:type="character" w:customStyle="1" w:styleId="UnresolvedMention2">
    <w:name w:val="Unresolved Mention2"/>
    <w:basedOn w:val="DefaultParagraphFont"/>
    <w:uiPriority w:val="99"/>
    <w:semiHidden/>
    <w:unhideWhenUsed/>
    <w:rsid w:val="00C965B7"/>
    <w:rPr>
      <w:color w:val="808080"/>
      <w:shd w:val="clear" w:color="auto" w:fill="E6E6E6"/>
    </w:rPr>
  </w:style>
  <w:style w:type="character" w:styleId="Mention">
    <w:name w:val="Mention"/>
    <w:basedOn w:val="DefaultParagraphFont"/>
    <w:uiPriority w:val="99"/>
    <w:semiHidden/>
    <w:unhideWhenUsed/>
    <w:rsid w:val="00A451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921">
      <w:bodyDiv w:val="1"/>
      <w:marLeft w:val="0"/>
      <w:marRight w:val="0"/>
      <w:marTop w:val="0"/>
      <w:marBottom w:val="0"/>
      <w:divBdr>
        <w:top w:val="none" w:sz="0" w:space="0" w:color="auto"/>
        <w:left w:val="none" w:sz="0" w:space="0" w:color="auto"/>
        <w:bottom w:val="none" w:sz="0" w:space="0" w:color="auto"/>
        <w:right w:val="none" w:sz="0" w:space="0" w:color="auto"/>
      </w:divBdr>
    </w:div>
    <w:div w:id="92164146">
      <w:bodyDiv w:val="1"/>
      <w:marLeft w:val="0"/>
      <w:marRight w:val="0"/>
      <w:marTop w:val="0"/>
      <w:marBottom w:val="0"/>
      <w:divBdr>
        <w:top w:val="none" w:sz="0" w:space="0" w:color="auto"/>
        <w:left w:val="none" w:sz="0" w:space="0" w:color="auto"/>
        <w:bottom w:val="none" w:sz="0" w:space="0" w:color="auto"/>
        <w:right w:val="none" w:sz="0" w:space="0" w:color="auto"/>
      </w:divBdr>
    </w:div>
    <w:div w:id="253242248">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7104">
      <w:bodyDiv w:val="1"/>
      <w:marLeft w:val="0"/>
      <w:marRight w:val="0"/>
      <w:marTop w:val="0"/>
      <w:marBottom w:val="0"/>
      <w:divBdr>
        <w:top w:val="none" w:sz="0" w:space="0" w:color="auto"/>
        <w:left w:val="none" w:sz="0" w:space="0" w:color="auto"/>
        <w:bottom w:val="none" w:sz="0" w:space="0" w:color="auto"/>
        <w:right w:val="none" w:sz="0" w:space="0" w:color="auto"/>
      </w:divBdr>
    </w:div>
    <w:div w:id="1435830095">
      <w:bodyDiv w:val="1"/>
      <w:marLeft w:val="0"/>
      <w:marRight w:val="0"/>
      <w:marTop w:val="0"/>
      <w:marBottom w:val="0"/>
      <w:divBdr>
        <w:top w:val="none" w:sz="0" w:space="0" w:color="auto"/>
        <w:left w:val="none" w:sz="0" w:space="0" w:color="auto"/>
        <w:bottom w:val="none" w:sz="0" w:space="0" w:color="auto"/>
        <w:right w:val="none" w:sz="0" w:space="0" w:color="auto"/>
      </w:divBdr>
    </w:div>
    <w:div w:id="1473019751">
      <w:bodyDiv w:val="1"/>
      <w:marLeft w:val="0"/>
      <w:marRight w:val="0"/>
      <w:marTop w:val="0"/>
      <w:marBottom w:val="0"/>
      <w:divBdr>
        <w:top w:val="none" w:sz="0" w:space="0" w:color="auto"/>
        <w:left w:val="none" w:sz="0" w:space="0" w:color="auto"/>
        <w:bottom w:val="none" w:sz="0" w:space="0" w:color="auto"/>
        <w:right w:val="none" w:sz="0" w:space="0" w:color="auto"/>
      </w:divBdr>
    </w:div>
    <w:div w:id="1714228546">
      <w:bodyDiv w:val="1"/>
      <w:marLeft w:val="0"/>
      <w:marRight w:val="0"/>
      <w:marTop w:val="0"/>
      <w:marBottom w:val="0"/>
      <w:divBdr>
        <w:top w:val="none" w:sz="0" w:space="0" w:color="auto"/>
        <w:left w:val="none" w:sz="0" w:space="0" w:color="auto"/>
        <w:bottom w:val="none" w:sz="0" w:space="0" w:color="auto"/>
        <w:right w:val="none" w:sz="0" w:space="0" w:color="auto"/>
      </w:divBdr>
    </w:div>
    <w:div w:id="201545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paquip.com/Default.aspx" TargetMode="External"/><Relationship Id="rId13" Type="http://schemas.openxmlformats.org/officeDocument/2006/relationships/hyperlink" Target="http://www.dcpaquip.com/Login.aspx?ReturnUrl=%2fPrivate%2fAQuIP_Report.aspx" TargetMode="External"/><Relationship Id="rId18" Type="http://schemas.openxmlformats.org/officeDocument/2006/relationships/hyperlink" Target="http://www.dcpaquip.com/Documents/Media/AQuIP%20OARS%20User%20Guide%20v%205.0.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cpaquip.com/Public/AQuIP_TrainingandResources.aspx" TargetMode="External"/><Relationship Id="rId17" Type="http://schemas.openxmlformats.org/officeDocument/2006/relationships/hyperlink" Target="mailto:dcphelpdesk@dcpais.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cpaquip.com/Documents/Media/AQuIP%20OARS%20User%20Guide%20v%205.0.pdf" TargetMode="External"/><Relationship Id="rId20" Type="http://schemas.openxmlformats.org/officeDocument/2006/relationships/hyperlink" Target="mailto:dcphelpdesk@dcpa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icirb.org/about-cirb/so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evention.cancer.gov/sites/default/files/uploads/clinical_trial/Recruit-Retent-Adhere-Plan-Outlin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cpaquip.com/Public/AQuIP_Toolkit.aspx" TargetMode="External"/><Relationship Id="rId19" Type="http://schemas.openxmlformats.org/officeDocument/2006/relationships/hyperlink" Target="http://www.dcpaquip.com/Login.aspx?ReturnUrl=%2fPrivate%2fAQuIP_Report.aspx" TargetMode="External"/><Relationship Id="rId4" Type="http://schemas.openxmlformats.org/officeDocument/2006/relationships/settings" Target="settings.xml"/><Relationship Id="rId9" Type="http://schemas.openxmlformats.org/officeDocument/2006/relationships/hyperlink" Target="https://prevention.cancer.gov/sites/default/files/uploads/clinical_trial/Recruit-Retent-Adhere-Plan-Outline.pdf" TargetMode="External"/><Relationship Id="rId14" Type="http://schemas.openxmlformats.org/officeDocument/2006/relationships/hyperlink" Target="http://www.dcpaquip.com/Documents/Media/AQuIP%20OARS%20User%20Guide%20v%205.0.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40ED-0DCC-4DA6-9C2B-E1D0B008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12005</CharactersWithSpaces>
  <SharedDoc>false</SharedDoc>
  <HLinks>
    <vt:vector size="12" baseType="variant">
      <vt:variant>
        <vt:i4>5308520</vt:i4>
      </vt:variant>
      <vt:variant>
        <vt:i4>3</vt:i4>
      </vt:variant>
      <vt:variant>
        <vt:i4>0</vt:i4>
      </vt:variant>
      <vt:variant>
        <vt:i4>5</vt:i4>
      </vt:variant>
      <vt:variant>
        <vt:lpwstr>mailto:dcphelpdesk@dcpais.com</vt:lpwstr>
      </vt:variant>
      <vt:variant>
        <vt:lpwstr/>
      </vt:variant>
      <vt:variant>
        <vt:i4>5308520</vt:i4>
      </vt:variant>
      <vt:variant>
        <vt:i4>0</vt:i4>
      </vt:variant>
      <vt:variant>
        <vt:i4>0</vt:i4>
      </vt:variant>
      <vt:variant>
        <vt:i4>5</vt:i4>
      </vt:variant>
      <vt:variant>
        <vt:lpwstr>mailto:dcphelpdesk@dcpais.com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dc:description/>
  <cp:lastModifiedBy>Randall, Wayne (NIH/NCI) [C]</cp:lastModifiedBy>
  <cp:revision>2</cp:revision>
  <cp:lastPrinted>2010-07-12T15:13:00Z</cp:lastPrinted>
  <dcterms:created xsi:type="dcterms:W3CDTF">2021-11-10T16:33:00Z</dcterms:created>
  <dcterms:modified xsi:type="dcterms:W3CDTF">2021-11-10T16:33:00Z</dcterms:modified>
</cp:coreProperties>
</file>