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4680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</w:tblGrid>
      <w:tr w:rsidR="004969EA" w:rsidRPr="00DE7F15" w14:paraId="489DF58D" w14:textId="77777777" w:rsidTr="00496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EE196B7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1560" w:type="dxa"/>
          </w:tcPr>
          <w:p w14:paraId="4F5FA1DA" w14:textId="77777777" w:rsidR="004969EA" w:rsidRPr="00DE7F15" w:rsidRDefault="004969EA" w:rsidP="00A756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Study Role</w:t>
            </w:r>
          </w:p>
        </w:tc>
        <w:tc>
          <w:tcPr>
            <w:tcW w:w="1560" w:type="dxa"/>
          </w:tcPr>
          <w:p w14:paraId="22D10AF4" w14:textId="3FDEBBFE" w:rsidR="004969EA" w:rsidRPr="00DE7F15" w:rsidRDefault="004969EA" w:rsidP="00A756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</w:rPr>
              <w:t xml:space="preserve">Study Tasks </w:t>
            </w:r>
            <w:r w:rsidRPr="00DE7F15">
              <w:rPr>
                <w:rFonts w:ascii="Times New Roman" w:eastAsia="Times New Roman" w:hAnsi="Times New Roman" w:cs="Times New Roman"/>
                <w:b w:val="0"/>
                <w:bCs w:val="0"/>
              </w:rPr>
              <w:t>(select from list)</w:t>
            </w:r>
          </w:p>
        </w:tc>
      </w:tr>
      <w:tr w:rsidR="004969EA" w:rsidRPr="00DE7F15" w14:paraId="69036D26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EE203ED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6FBD95E7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72CB408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FB7D1EB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37F2744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00123B17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6719D9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A92C34D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9FD1BF5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6E265BF2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0A239D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0443EB2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B5B5004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29198AC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EE190F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2EBC86D0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526223C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22FC1D1C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CF56F53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041A6D7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18CB43B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5DEAE6AA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7A0008C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E90EFC9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1AA77D9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23C48F7C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6C13EBF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A37B509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94C0063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13B78DF0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3CCFDF8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05002D6C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628FEF8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1DCA7518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AFADD13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0B866C9C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2DB4419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</w:tcPr>
          <w:p w14:paraId="60D0784E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8A420AD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6016A89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015565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135CA6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7A37D0E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22A9638C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F60EBB4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43F1B61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40A1A8D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7BCF0E5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5CC0E8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C617653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2051329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15E450D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6727BB3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1005B45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5BA265B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9333F8F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8BF550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C4EE5F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9D9F259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3B484278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35C2346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0C1E79B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9DF017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2A4D88F3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642D4A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02A17D2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9E0A603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020C0EC2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0FE8450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F26DBAF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0C6B49F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03EAC03F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1623B4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F646691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9BF88AA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1761A931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7062E7C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3231D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7AF33C3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43811E46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3E8D9E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9CBAB55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578B9EA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419291D2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FDF31B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D644FDC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C58B132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03FC8311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390D0D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4B68AF5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9FDADA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E5BF939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D11E6E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4894311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0DECC9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477C99D5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2E3E3F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F16DDC2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B466AD1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8803CEF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E683F90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05B3E58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773974E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BB5E44B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DEA82E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CE6A31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70C3E12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EC9758F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7DF5CD8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EF9C98C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FB5DC18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35606BF7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C0850B9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60DD6AB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BF15BE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14AB6519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B6DED7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58FA968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62E9AD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2CDDA15A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5100E9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19CE72C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B5D7EF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1E880EE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8705AF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DF1CF4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0A9ECA7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6C88E5E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3ECB0B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40023CA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469B81A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04D9B6A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D21362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93E85B9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E9CCC12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72D10AA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868420E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2BADBFD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5966F00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CFAF8B2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64187B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A0C173A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CE3DF51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586FD59F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365E9F1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7CCBE69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4B17F5C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11579724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06970A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0DD48DB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440B475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67C51888" w14:textId="77777777" w:rsidTr="0049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F8A214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D6E8D6A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5340588" w14:textId="77777777" w:rsidR="004969EA" w:rsidRPr="00DE7F15" w:rsidRDefault="004969EA" w:rsidP="00A75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9EA" w:rsidRPr="00DE7F15" w14:paraId="738406FC" w14:textId="77777777" w:rsidTr="004969E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1D6EFD9" w14:textId="77777777" w:rsidR="004969EA" w:rsidRPr="00DE7F15" w:rsidRDefault="004969EA" w:rsidP="00A756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DBC435A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A70C6B6" w14:textId="77777777" w:rsidR="004969EA" w:rsidRPr="00DE7F15" w:rsidRDefault="004969EA" w:rsidP="00A7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45F17C3" w14:textId="77777777" w:rsidR="004969EA" w:rsidRPr="00DE7F15" w:rsidRDefault="004969EA" w:rsidP="004969EA">
      <w:pPr>
        <w:pStyle w:val="Heading2"/>
        <w:rPr>
          <w:rFonts w:cs="Times New Roman"/>
          <w:sz w:val="22"/>
          <w:szCs w:val="22"/>
        </w:rPr>
      </w:pPr>
      <w:bookmarkStart w:id="0" w:name="_Hlk95734221"/>
      <w:r w:rsidRPr="00DE7F15">
        <w:rPr>
          <w:rFonts w:cs="Times New Roman"/>
          <w:sz w:val="22"/>
          <w:szCs w:val="22"/>
        </w:rPr>
        <w:t>RCR</w:t>
      </w:r>
      <w:bookmarkEnd w:id="0"/>
      <w:r w:rsidRPr="00DE7F15">
        <w:rPr>
          <w:rFonts w:cs="Times New Roman"/>
          <w:sz w:val="22"/>
          <w:szCs w:val="22"/>
        </w:rPr>
        <w:t>-Registration Types:</w:t>
      </w:r>
    </w:p>
    <w:p w14:paraId="6F1F5819" w14:textId="77777777" w:rsidR="004969EA" w:rsidRPr="00DE7F15" w:rsidRDefault="004969EA" w:rsidP="004969EA">
      <w:pPr>
        <w:spacing w:after="0"/>
        <w:rPr>
          <w:rFonts w:ascii="Times New Roman" w:hAnsi="Times New Roman" w:cs="Times New Roman"/>
          <w:i/>
          <w:iCs/>
        </w:rPr>
      </w:pPr>
      <w:r w:rsidRPr="00DE7F15">
        <w:rPr>
          <w:rFonts w:ascii="Times New Roman" w:hAnsi="Times New Roman" w:cs="Times New Roman"/>
          <w:b/>
          <w:bCs/>
        </w:rPr>
        <w:t>Investigator</w:t>
      </w:r>
      <w:r w:rsidRPr="00DE7F15">
        <w:rPr>
          <w:rFonts w:ascii="Times New Roman" w:hAnsi="Times New Roman" w:cs="Times New Roman"/>
        </w:rPr>
        <w:t xml:space="preserve"> (</w:t>
      </w:r>
      <w:r w:rsidRPr="00DE7F15">
        <w:rPr>
          <w:rFonts w:ascii="Times New Roman" w:hAnsi="Times New Roman" w:cs="Times New Roman"/>
          <w:b/>
          <w:bCs/>
        </w:rPr>
        <w:t xml:space="preserve">IVR) </w:t>
      </w:r>
      <w:r w:rsidRPr="00DE7F15">
        <w:rPr>
          <w:rFonts w:ascii="Times New Roman" w:hAnsi="Times New Roman" w:cs="Times New Roman"/>
          <w:i/>
          <w:iCs/>
        </w:rPr>
        <w:t>MD, DO, or international equivalent</w:t>
      </w:r>
    </w:p>
    <w:p w14:paraId="051694BD" w14:textId="22E42648" w:rsidR="004969EA" w:rsidRPr="00DE7F15" w:rsidRDefault="004969EA" w:rsidP="004969EA">
      <w:pPr>
        <w:spacing w:after="0"/>
        <w:rPr>
          <w:rFonts w:ascii="Times New Roman" w:hAnsi="Times New Roman" w:cs="Times New Roman"/>
          <w:i/>
          <w:iCs/>
        </w:rPr>
      </w:pPr>
      <w:r w:rsidRPr="00DE7F15">
        <w:rPr>
          <w:rFonts w:ascii="Times New Roman" w:hAnsi="Times New Roman" w:cs="Times New Roman"/>
          <w:b/>
          <w:bCs/>
        </w:rPr>
        <w:t>Non-Physician Investigator</w:t>
      </w:r>
      <w:r w:rsidRPr="00DE7F15">
        <w:rPr>
          <w:rFonts w:ascii="Times New Roman" w:hAnsi="Times New Roman" w:cs="Times New Roman"/>
        </w:rPr>
        <w:t xml:space="preserve"> (</w:t>
      </w:r>
      <w:r w:rsidRPr="00DE7F15">
        <w:rPr>
          <w:rFonts w:ascii="Times New Roman" w:hAnsi="Times New Roman" w:cs="Times New Roman"/>
          <w:b/>
          <w:bCs/>
        </w:rPr>
        <w:t xml:space="preserve">NPIVR) </w:t>
      </w:r>
      <w:r w:rsidRPr="00DE7F15">
        <w:rPr>
          <w:rFonts w:ascii="Times New Roman" w:hAnsi="Times New Roman" w:cs="Times New Roman"/>
          <w:i/>
          <w:iCs/>
        </w:rPr>
        <w:t>advanced practice providers (e.g., NP or PA) or graduate level researchers (e.g., PhD)</w:t>
      </w:r>
    </w:p>
    <w:p w14:paraId="4E54D2C1" w14:textId="5684627D" w:rsidR="004969EA" w:rsidRPr="00DE7F15" w:rsidRDefault="004969EA" w:rsidP="004969EA">
      <w:pPr>
        <w:spacing w:after="0"/>
        <w:rPr>
          <w:rFonts w:ascii="Times New Roman" w:hAnsi="Times New Roman" w:cs="Times New Roman"/>
          <w:i/>
          <w:iCs/>
        </w:rPr>
      </w:pPr>
      <w:r w:rsidRPr="00DE7F15">
        <w:rPr>
          <w:rFonts w:ascii="Times New Roman" w:hAnsi="Times New Roman" w:cs="Times New Roman"/>
          <w:b/>
          <w:bCs/>
        </w:rPr>
        <w:t>Associate Plus (AP)</w:t>
      </w:r>
      <w:r w:rsidRPr="00DE7F15"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  <w:i/>
          <w:iCs/>
        </w:rPr>
        <w:t>clinical site staff</w:t>
      </w:r>
    </w:p>
    <w:p w14:paraId="27260384" w14:textId="77777777" w:rsidR="004969EA" w:rsidRDefault="004969EA" w:rsidP="004969EA">
      <w:pPr>
        <w:tabs>
          <w:tab w:val="left" w:pos="720"/>
        </w:tabs>
        <w:spacing w:after="0"/>
        <w:rPr>
          <w:rFonts w:ascii="Times New Roman" w:hAnsi="Times New Roman" w:cs="Times New Roman"/>
          <w:i/>
        </w:rPr>
      </w:pPr>
    </w:p>
    <w:p w14:paraId="7861AAC7" w14:textId="3F96F3BD" w:rsidR="004969EA" w:rsidRPr="00DE7F15" w:rsidRDefault="004969EA" w:rsidP="004969EA">
      <w:pPr>
        <w:pStyle w:val="Heading2"/>
        <w:rPr>
          <w:rFonts w:cs="Times New Roman"/>
          <w:sz w:val="22"/>
          <w:szCs w:val="22"/>
        </w:rPr>
      </w:pPr>
      <w:r w:rsidRPr="00DE7F15">
        <w:rPr>
          <w:rFonts w:cs="Times New Roman"/>
          <w:sz w:val="22"/>
          <w:szCs w:val="22"/>
        </w:rPr>
        <w:t>Study Tasks List</w:t>
      </w:r>
      <w:r w:rsidR="00F74102">
        <w:rPr>
          <w:rFonts w:cs="Times New Roman"/>
          <w:sz w:val="22"/>
          <w:szCs w:val="22"/>
        </w:rPr>
        <w:t xml:space="preserve"> for Personnel on DTL</w:t>
      </w:r>
      <w:r w:rsidRPr="00DE7F15">
        <w:rPr>
          <w:rFonts w:cs="Times New Roman"/>
          <w:sz w:val="22"/>
          <w:szCs w:val="22"/>
        </w:rPr>
        <w:t>:</w:t>
      </w:r>
    </w:p>
    <w:p w14:paraId="55E18D9A" w14:textId="0C6A2D53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DE7F15">
        <w:rPr>
          <w:rFonts w:ascii="Times New Roman" w:hAnsi="Times New Roman" w:cs="Times New Roman"/>
        </w:rPr>
        <w:t>DTL and RCR Administrator (IVR, NPIVR, AP)</w:t>
      </w:r>
    </w:p>
    <w:p w14:paraId="490229C8" w14:textId="4642C088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Primary Study/Site Contact (IVR, NPIVR, AP)</w:t>
      </w:r>
    </w:p>
    <w:p w14:paraId="7309B984" w14:textId="68670462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Person Authorized to Obtain Consent (IVR, NPIVR, AP)</w:t>
      </w:r>
    </w:p>
    <w:p w14:paraId="571EF151" w14:textId="71AC5331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Data Management/EDC (IVR, NPIVR, AP)</w:t>
      </w:r>
    </w:p>
    <w:p w14:paraId="591C8DB6" w14:textId="5BD32998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 xml:space="preserve">Eligibility Assessments (IVR, NPIVR, AP) </w:t>
      </w:r>
      <w:r w:rsidRPr="00DE7F15">
        <w:rPr>
          <w:rFonts w:ascii="Times New Roman" w:hAnsi="Times New Roman" w:cs="Times New Roman"/>
          <w:b/>
        </w:rPr>
        <w:t>**</w:t>
      </w:r>
    </w:p>
    <w:p w14:paraId="37755E6D" w14:textId="0AF426FC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Endpoint Assessments (IVR, NPIVR)</w:t>
      </w:r>
    </w:p>
    <w:p w14:paraId="2CB4573D" w14:textId="2E4B432A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AE/SAE and Toxicity Assessments (IVR)</w:t>
      </w:r>
    </w:p>
    <w:p w14:paraId="1D837842" w14:textId="7DBF16D4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H&amp;P Assessments (IVR)</w:t>
      </w:r>
    </w:p>
    <w:p w14:paraId="57A93F30" w14:textId="36959016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  <w:vertAlign w:val="superscript"/>
        </w:rPr>
      </w:pPr>
      <w:r w:rsidRPr="00DE7F15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IND Agent Prescribing (IVR)</w:t>
      </w:r>
    </w:p>
    <w:p w14:paraId="12E9EBA8" w14:textId="14095EFE" w:rsidR="004969EA" w:rsidRPr="00DE7F15" w:rsidRDefault="004969EA" w:rsidP="004969EA">
      <w:pPr>
        <w:tabs>
          <w:tab w:val="left" w:pos="361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Non-IND Agent Prescribing (IVR)</w:t>
      </w:r>
    </w:p>
    <w:p w14:paraId="33024FFE" w14:textId="14828A07" w:rsidR="004969EA" w:rsidRPr="00DE7F15" w:rsidRDefault="004969EA" w:rsidP="004969EA">
      <w:pPr>
        <w:tabs>
          <w:tab w:val="left" w:pos="361"/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F8291D">
        <w:rPr>
          <w:rFonts w:ascii="Times New Roman" w:hAnsi="Times New Roman" w:cs="Times New Roman"/>
        </w:rPr>
        <w:t>Investigational Product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F15">
        <w:rPr>
          <w:rFonts w:ascii="Times New Roman" w:hAnsi="Times New Roman" w:cs="Times New Roman"/>
        </w:rPr>
        <w:t xml:space="preserve">Accountability (IVR, NPIVR, AP) </w:t>
      </w:r>
      <w:r w:rsidRPr="00DE7F15">
        <w:rPr>
          <w:rFonts w:ascii="Times New Roman" w:hAnsi="Times New Roman" w:cs="Times New Roman"/>
        </w:rPr>
        <w:br/>
        <w:t>12.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Study-Related Interventions (IVR, NPIVR, AP)</w:t>
      </w:r>
    </w:p>
    <w:p w14:paraId="7AC39372" w14:textId="6A6845ED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Patient Screening/Recruiting (IVR, NPIVR, AP)</w:t>
      </w:r>
    </w:p>
    <w:p w14:paraId="3BFC63E4" w14:textId="08EB4EE4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</w:t>
      </w:r>
      <w:r w:rsidRPr="00DE7F15">
        <w:rPr>
          <w:rFonts w:ascii="Times New Roman" w:hAnsi="Times New Roman" w:cs="Times New Roman"/>
        </w:rPr>
        <w:t>Source Documentation Completion (IVR, NPIVR, AP)</w:t>
      </w:r>
    </w:p>
    <w:p w14:paraId="5C90F5D2" w14:textId="0FB3E02B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Regulatory Contact (IVR, NPIVR, AP)</w:t>
      </w:r>
    </w:p>
    <w:p w14:paraId="40336AE1" w14:textId="7A6356F4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Specimen Tracking System (IVR, NPIVR, AP)</w:t>
      </w:r>
    </w:p>
    <w:p w14:paraId="0F9821AB" w14:textId="0E8145C3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. </w:t>
      </w:r>
      <w:r w:rsidRPr="00DE7F15">
        <w:rPr>
          <w:rFonts w:ascii="Times New Roman" w:hAnsi="Times New Roman" w:cs="Times New Roman"/>
        </w:rPr>
        <w:t>Specimen Processing/Shipping (IVR, IVR, AP)</w:t>
      </w:r>
    </w:p>
    <w:p w14:paraId="5A504E1F" w14:textId="49FC7FEA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Pathology Lab Support (IVR, NPIVR, AP)</w:t>
      </w:r>
    </w:p>
    <w:p w14:paraId="55D1F385" w14:textId="0964735C" w:rsidR="004969EA" w:rsidRPr="00DE7F15" w:rsidRDefault="004969EA" w:rsidP="004969EA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Other</w:t>
      </w:r>
      <w:r w:rsidRPr="00DE7F15">
        <w:rPr>
          <w:rFonts w:ascii="Times New Roman" w:hAnsi="Times New Roman" w:cs="Times New Roman"/>
          <w:i/>
          <w:vertAlign w:val="superscript"/>
        </w:rPr>
        <w:t>(d)</w:t>
      </w:r>
      <w:r w:rsidRPr="00DE7F15">
        <w:rPr>
          <w:rFonts w:ascii="Times New Roman" w:hAnsi="Times New Roman" w:cs="Times New Roman"/>
        </w:rPr>
        <w:t xml:space="preserve">: </w:t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</w:p>
    <w:p w14:paraId="7278239C" w14:textId="33D0476D" w:rsidR="004969EA" w:rsidRDefault="004969EA" w:rsidP="004969EA">
      <w:pPr>
        <w:spacing w:after="0"/>
        <w:rPr>
          <w:rFonts w:ascii="Times New Roman" w:hAnsi="Times New Roman" w:cs="Times New Roman"/>
          <w:u w:val="single"/>
        </w:rPr>
      </w:pPr>
      <w:r w:rsidRPr="00DE7F15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DE7F15">
        <w:rPr>
          <w:rFonts w:ascii="Times New Roman" w:hAnsi="Times New Roman" w:cs="Times New Roman"/>
        </w:rPr>
        <w:t>Other</w:t>
      </w:r>
      <w:r w:rsidRPr="00DE7F15">
        <w:rPr>
          <w:rFonts w:ascii="Times New Roman" w:hAnsi="Times New Roman" w:cs="Times New Roman"/>
          <w:i/>
          <w:vertAlign w:val="superscript"/>
        </w:rPr>
        <w:t>(d)</w:t>
      </w:r>
      <w:r w:rsidRPr="00DE7F15">
        <w:rPr>
          <w:rFonts w:ascii="Times New Roman" w:hAnsi="Times New Roman" w:cs="Times New Roman"/>
        </w:rPr>
        <w:t xml:space="preserve">: </w:t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tab/>
      </w:r>
      <w:r w:rsidRPr="00DE7F15">
        <w:rPr>
          <w:rFonts w:ascii="Times New Roman" w:hAnsi="Times New Roman" w:cs="Times New Roman"/>
          <w:u w:val="single"/>
        </w:rPr>
        <w:br/>
      </w:r>
    </w:p>
    <w:p w14:paraId="05FAFFE7" w14:textId="77777777" w:rsidR="004969EA" w:rsidRPr="00DE7F15" w:rsidRDefault="004969EA" w:rsidP="004969EA">
      <w:pPr>
        <w:tabs>
          <w:tab w:val="left" w:pos="720"/>
        </w:tabs>
        <w:spacing w:after="0"/>
        <w:rPr>
          <w:rFonts w:ascii="Times New Roman" w:hAnsi="Times New Roman" w:cs="Times New Roman"/>
          <w:i/>
        </w:rPr>
      </w:pPr>
      <w:r w:rsidRPr="00DE7F15">
        <w:rPr>
          <w:rFonts w:ascii="Times New Roman" w:hAnsi="Times New Roman" w:cs="Times New Roman"/>
          <w:i/>
        </w:rPr>
        <w:t>**Eligibility Assessments:</w:t>
      </w:r>
    </w:p>
    <w:p w14:paraId="3DB9D3C9" w14:textId="526CF82B" w:rsidR="00225300" w:rsidRPr="004969EA" w:rsidRDefault="004969EA" w:rsidP="004F237F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DE7F15">
        <w:rPr>
          <w:rFonts w:ascii="Times New Roman" w:hAnsi="Times New Roman" w:cs="Times New Roman"/>
        </w:rPr>
        <w:t>Screening (IVR, NPIVR, AP)</w:t>
      </w:r>
      <w:r w:rsidR="004F237F">
        <w:rPr>
          <w:rFonts w:ascii="Times New Roman" w:hAnsi="Times New Roman" w:cs="Times New Roman"/>
        </w:rPr>
        <w:t xml:space="preserve">; </w:t>
      </w:r>
      <w:r w:rsidRPr="00DE7F15">
        <w:rPr>
          <w:rFonts w:ascii="Times New Roman" w:hAnsi="Times New Roman" w:cs="Times New Roman"/>
        </w:rPr>
        <w:t>Randomization (IVR)</w:t>
      </w:r>
      <w:r>
        <w:tab/>
      </w:r>
      <w:r>
        <w:tab/>
      </w:r>
      <w:r>
        <w:tab/>
      </w:r>
      <w:r>
        <w:tab/>
      </w:r>
      <w:r>
        <w:tab/>
      </w:r>
    </w:p>
    <w:sectPr w:rsidR="00225300" w:rsidRPr="004969EA" w:rsidSect="004F23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126F" w14:textId="77777777" w:rsidR="00BF1E31" w:rsidRDefault="00BF1E31" w:rsidP="00BF1E31">
      <w:pPr>
        <w:spacing w:after="0" w:line="240" w:lineRule="auto"/>
      </w:pPr>
      <w:r>
        <w:separator/>
      </w:r>
    </w:p>
  </w:endnote>
  <w:endnote w:type="continuationSeparator" w:id="0">
    <w:p w14:paraId="0D457335" w14:textId="77777777" w:rsidR="00BF1E31" w:rsidRDefault="00BF1E31" w:rsidP="00BF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8A15" w14:textId="3A89EFEC" w:rsidR="004F237F" w:rsidRDefault="004F237F" w:rsidP="004F237F">
    <w:pPr>
      <w:pStyle w:val="Footer"/>
    </w:pPr>
    <w:r>
      <w:t xml:space="preserve">*This document should be completed as soon as accruing sites know the personnel who will be included on their DTLs; DTLs should be completed during or shortly after the Site Initiation Visit. </w:t>
    </w:r>
  </w:p>
  <w:p w14:paraId="1CAFD85A" w14:textId="77777777" w:rsidR="004F237F" w:rsidRDefault="004F237F">
    <w:pPr>
      <w:pStyle w:val="Footer"/>
    </w:pPr>
  </w:p>
  <w:p w14:paraId="61EBD808" w14:textId="57CE340E" w:rsidR="004F237F" w:rsidRDefault="004F237F">
    <w:pPr>
      <w:pStyle w:val="Footer"/>
    </w:pPr>
    <w:r>
      <w:t xml:space="preserve">Version 1, 02/14/2022, Page </w:t>
    </w:r>
    <w:sdt>
      <w:sdtPr>
        <w:id w:val="18734093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98E5" w14:textId="77777777" w:rsidR="00BF1E31" w:rsidRDefault="00BF1E31" w:rsidP="00BF1E31">
      <w:pPr>
        <w:spacing w:after="0" w:line="240" w:lineRule="auto"/>
      </w:pPr>
      <w:r>
        <w:separator/>
      </w:r>
    </w:p>
  </w:footnote>
  <w:footnote w:type="continuationSeparator" w:id="0">
    <w:p w14:paraId="61070C3B" w14:textId="77777777" w:rsidR="00BF1E31" w:rsidRDefault="00BF1E31" w:rsidP="00BF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02A0" w14:textId="6FA182CA" w:rsidR="00F977D6" w:rsidRPr="006F2547" w:rsidRDefault="00F977D6" w:rsidP="00236B9E">
    <w:pPr>
      <w:pStyle w:val="Header"/>
      <w:jc w:val="center"/>
      <w:rPr>
        <w:b/>
        <w:bCs/>
      </w:rPr>
    </w:pPr>
    <w:r w:rsidRPr="006F2547">
      <w:rPr>
        <w:b/>
        <w:bCs/>
      </w:rPr>
      <w:t>RCR Registration Tool</w:t>
    </w:r>
  </w:p>
  <w:p w14:paraId="5D214222" w14:textId="77777777" w:rsidR="00F977D6" w:rsidRPr="004F237F" w:rsidRDefault="00F977D6">
    <w:pPr>
      <w:pStyle w:val="Header"/>
    </w:pPr>
  </w:p>
  <w:p w14:paraId="1CAAC431" w14:textId="63EBFEC3" w:rsidR="00BF1E31" w:rsidRPr="004F237F" w:rsidRDefault="004A177E">
    <w:pPr>
      <w:pStyle w:val="Header"/>
    </w:pPr>
    <w:r w:rsidRPr="004F237F">
      <w:t xml:space="preserve">Accruing sites, please complete this document with the </w:t>
    </w:r>
    <w:r w:rsidR="00236B9E" w:rsidRPr="004F237F">
      <w:t>information of</w:t>
    </w:r>
    <w:r w:rsidRPr="004F237F">
      <w:t xml:space="preserve"> </w:t>
    </w:r>
    <w:r w:rsidR="00236B9E" w:rsidRPr="004F237F">
      <w:t>the</w:t>
    </w:r>
    <w:r w:rsidRPr="004F237F">
      <w:t xml:space="preserve"> personnel who will be included on your site’s Delegation of Tasks Log (DTL)*. Please send this document to your Lead Academic Organization (LAO)</w:t>
    </w:r>
    <w:r w:rsidR="00236B9E" w:rsidRPr="004F237F">
      <w:t xml:space="preserve"> </w:t>
    </w:r>
    <w:r w:rsidRPr="004F237F">
      <w:t>once it is completed. The LAO</w:t>
    </w:r>
    <w:r w:rsidR="00236B9E" w:rsidRPr="004F237F">
      <w:t xml:space="preserve"> will then send the document to the DCP Regulatory Contractor for quality assurance </w:t>
    </w:r>
    <w:r w:rsidR="006F2547">
      <w:t xml:space="preserve">reviews </w:t>
    </w:r>
    <w:r w:rsidR="00236B9E" w:rsidRPr="004F237F">
      <w:t xml:space="preserve">of all RCR registrations.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29"/>
    <w:multiLevelType w:val="hybridMultilevel"/>
    <w:tmpl w:val="63E0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A"/>
    <w:rsid w:val="00225300"/>
    <w:rsid w:val="00236B9E"/>
    <w:rsid w:val="004969EA"/>
    <w:rsid w:val="004A177E"/>
    <w:rsid w:val="004F237F"/>
    <w:rsid w:val="006F2547"/>
    <w:rsid w:val="00792461"/>
    <w:rsid w:val="00980496"/>
    <w:rsid w:val="00A73AD6"/>
    <w:rsid w:val="00AE6196"/>
    <w:rsid w:val="00BB5B42"/>
    <w:rsid w:val="00BF1E31"/>
    <w:rsid w:val="00DA4CBB"/>
    <w:rsid w:val="00DF6720"/>
    <w:rsid w:val="00EB69C6"/>
    <w:rsid w:val="00F74102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1D741"/>
  <w15:chartTrackingRefBased/>
  <w15:docId w15:val="{56477FC6-2BB6-4591-A3FC-579EFC5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E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9E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4969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969EA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31"/>
  </w:style>
  <w:style w:type="paragraph" w:styleId="Footer">
    <w:name w:val="footer"/>
    <w:basedOn w:val="Normal"/>
    <w:link w:val="FooterChar"/>
    <w:uiPriority w:val="99"/>
    <w:unhideWhenUsed/>
    <w:rsid w:val="00BF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31"/>
  </w:style>
  <w:style w:type="character" w:styleId="CommentReference">
    <w:name w:val="annotation reference"/>
    <w:basedOn w:val="DefaultParagraphFont"/>
    <w:uiPriority w:val="99"/>
    <w:semiHidden/>
    <w:unhideWhenUsed/>
    <w:rsid w:val="00F9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62009D5D0CF41AC67C6ECBD451032" ma:contentTypeVersion="5" ma:contentTypeDescription="Create a new document." ma:contentTypeScope="" ma:versionID="c81168aa5748bc9a34a663444aaf3952">
  <xsd:schema xmlns:xsd="http://www.w3.org/2001/XMLSchema" xmlns:xs="http://www.w3.org/2001/XMLSchema" xmlns:p="http://schemas.microsoft.com/office/2006/metadata/properties" xmlns:ns3="ae996e2e-c6d7-4727-bb6c-c3a9daecf717" xmlns:ns4="4e2016d4-c8d8-4b66-9102-3da6ad49893f" targetNamespace="http://schemas.microsoft.com/office/2006/metadata/properties" ma:root="true" ma:fieldsID="67743a781373fa08c88effdbbf5de0bb" ns3:_="" ns4:_="">
    <xsd:import namespace="ae996e2e-c6d7-4727-bb6c-c3a9daecf717"/>
    <xsd:import namespace="4e2016d4-c8d8-4b66-9102-3da6ad4989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6e2e-c6d7-4727-bb6c-c3a9daecf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16d4-c8d8-4b66-9102-3da6ad498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9D1C8-E44B-403D-B1CD-3C16D6AA0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6e2e-c6d7-4727-bb6c-c3a9daecf717"/>
    <ds:schemaRef ds:uri="4e2016d4-c8d8-4b66-9102-3da6ad498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6B90C-A8E7-4D4A-8F81-FED9DE2741BC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4e2016d4-c8d8-4b66-9102-3da6ad49893f"/>
    <ds:schemaRef ds:uri="http://schemas.microsoft.com/office/infopath/2007/PartnerControls"/>
    <ds:schemaRef ds:uri="http://schemas.microsoft.com/office/2006/documentManagement/types"/>
    <ds:schemaRef ds:uri="ae996e2e-c6d7-4727-bb6c-c3a9daecf71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FC743B-009B-4B27-AACD-9E9B8EF40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RCR Registration Tool</dc:title>
  <dc:subject/>
  <dc:creator>NCI Division of Cancer Prevention</dc:creator>
  <cp:keywords>ULACNet, Registration and Credential Repository, RCR</cp:keywords>
  <dc:description/>
  <cp:lastModifiedBy>Newberg, Sarah (NIH/NCI) [C]</cp:lastModifiedBy>
  <cp:revision>5</cp:revision>
  <dcterms:created xsi:type="dcterms:W3CDTF">2022-02-14T16:58:00Z</dcterms:created>
  <dcterms:modified xsi:type="dcterms:W3CDTF">2022-02-14T17:31:00Z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0x01010068062009D5D0CF41AC67C6ECBD451032</vt:lpwstr>
  </property>
</Properties>
</file>